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2D1" w14:textId="1F72A382" w:rsidR="00682BA5" w:rsidRDefault="00E771CD" w:rsidP="005D0FEE">
      <w:pPr>
        <w:pStyle w:val="Heading1"/>
        <w:spacing w:before="240" w:line="240" w:lineRule="auto"/>
      </w:pPr>
      <w:bookmarkStart w:id="0" w:name="_Toc6390966"/>
      <w:bookmarkStart w:id="1" w:name="_Toc6391319"/>
      <w:r>
        <w:t>Appendix B: NZC</w:t>
      </w:r>
      <w:r w:rsidR="00501BD8">
        <w:t>B</w:t>
      </w:r>
      <w:r>
        <w:t xml:space="preserve"> – Operational Energy Minimum Reporting Template</w:t>
      </w:r>
      <w:bookmarkEnd w:id="0"/>
      <w:bookmarkEnd w:id="1"/>
    </w:p>
    <w:p w14:paraId="000002D2" w14:textId="1C885982" w:rsidR="00682BA5" w:rsidRDefault="00472AB8" w:rsidP="00472AB8">
      <w:pPr>
        <w:pStyle w:val="Heading2"/>
        <w:spacing w:before="240"/>
      </w:pPr>
      <w:r>
        <w:t>Overview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96"/>
        <w:gridCol w:w="7024"/>
      </w:tblGrid>
      <w:tr w:rsidR="00682BA5" w14:paraId="6E6BA24D" w14:textId="77777777" w:rsidTr="007A0276">
        <w:tc>
          <w:tcPr>
            <w:tcW w:w="13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3" w14:textId="77777777" w:rsidR="00682BA5" w:rsidRDefault="00E771CD">
            <w:r>
              <w:t>Dates of achievement</w:t>
            </w:r>
          </w:p>
        </w:tc>
        <w:tc>
          <w:tcPr>
            <w:tcW w:w="3613" w:type="pct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4" w14:textId="77777777" w:rsidR="00682BA5" w:rsidRDefault="00E771CD">
            <w:proofErr w:type="gramStart"/>
            <w:r>
              <w:t>12 month</w:t>
            </w:r>
            <w:proofErr w:type="gramEnd"/>
            <w:r>
              <w:t xml:space="preserve"> period over which a net zero carbon balance has been achieved e.g. 1 April 2019 to 31 March 2020</w:t>
            </w:r>
          </w:p>
        </w:tc>
      </w:tr>
      <w:tr w:rsidR="00682BA5" w14:paraId="323E612E" w14:textId="77777777" w:rsidTr="007A0276">
        <w:tc>
          <w:tcPr>
            <w:tcW w:w="13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5" w14:textId="77777777" w:rsidR="00682BA5" w:rsidRDefault="00E771CD">
            <w:r>
              <w:t>Verified by</w:t>
            </w:r>
          </w:p>
        </w:tc>
        <w:tc>
          <w:tcPr>
            <w:tcW w:w="3613" w:type="pct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6" w14:textId="77777777" w:rsidR="00682BA5" w:rsidRDefault="00E771CD">
            <w:r>
              <w:t>Third-party verifier name and organisation</w:t>
            </w:r>
          </w:p>
        </w:tc>
      </w:tr>
      <w:tr w:rsidR="00682BA5" w14:paraId="1E22E945" w14:textId="77777777" w:rsidTr="007A0276">
        <w:tc>
          <w:tcPr>
            <w:tcW w:w="13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7" w14:textId="77777777" w:rsidR="00682BA5" w:rsidRDefault="00E771CD">
            <w:r>
              <w:t xml:space="preserve">Building location </w:t>
            </w:r>
          </w:p>
        </w:tc>
        <w:tc>
          <w:tcPr>
            <w:tcW w:w="3613" w:type="pct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8" w14:textId="77777777" w:rsidR="00682BA5" w:rsidRDefault="00E771CD">
            <w:r>
              <w:t>Full address</w:t>
            </w:r>
          </w:p>
        </w:tc>
      </w:tr>
      <w:tr w:rsidR="00682BA5" w14:paraId="3C5BC173" w14:textId="77777777" w:rsidTr="007A0276">
        <w:tc>
          <w:tcPr>
            <w:tcW w:w="13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A" w14:textId="1D06C52A" w:rsidR="00682BA5" w:rsidRDefault="00E771CD" w:rsidP="00A716AB">
            <w:r>
              <w:t>Building type</w:t>
            </w:r>
          </w:p>
        </w:tc>
        <w:tc>
          <w:tcPr>
            <w:tcW w:w="3613" w:type="pct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C" w14:textId="79D539CB" w:rsidR="00682BA5" w:rsidRDefault="005E6F31">
            <w:r>
              <w:t>Provide planning use class</w:t>
            </w:r>
          </w:p>
        </w:tc>
      </w:tr>
      <w:tr w:rsidR="00682BA5" w14:paraId="27193A43" w14:textId="77777777" w:rsidTr="007A0276">
        <w:tc>
          <w:tcPr>
            <w:tcW w:w="13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D" w14:textId="77777777" w:rsidR="00682BA5" w:rsidRDefault="00E771CD">
            <w:r>
              <w:t xml:space="preserve">Building description </w:t>
            </w:r>
          </w:p>
        </w:tc>
        <w:tc>
          <w:tcPr>
            <w:tcW w:w="3613" w:type="pct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E" w14:textId="77777777" w:rsidR="00682BA5" w:rsidRDefault="00E771CD">
            <w:r>
              <w:t>No. of storeys, structural frame, façade type, basement(?), brief description of associated external areas and any ancillary structures.</w:t>
            </w:r>
          </w:p>
        </w:tc>
      </w:tr>
      <w:tr w:rsidR="00682BA5" w14:paraId="0DDCDBE2" w14:textId="77777777" w:rsidTr="007A0276">
        <w:tc>
          <w:tcPr>
            <w:tcW w:w="13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F" w14:textId="77777777" w:rsidR="00682BA5" w:rsidRDefault="00E771CD">
            <w:r>
              <w:t>Energy scope</w:t>
            </w:r>
          </w:p>
        </w:tc>
        <w:tc>
          <w:tcPr>
            <w:tcW w:w="3613" w:type="pct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0" w14:textId="2FF69A2E" w:rsidR="00682BA5" w:rsidRDefault="007662AD" w:rsidP="00D21ECB">
            <w:proofErr w:type="gramStart"/>
            <w:r>
              <w:t>E.g.</w:t>
            </w:r>
            <w:proofErr w:type="gramEnd"/>
            <w:r>
              <w:t xml:space="preserve"> individual dwelling</w:t>
            </w:r>
            <w:r w:rsidR="00D21ECB">
              <w:t xml:space="preserve">, </w:t>
            </w:r>
            <w:r>
              <w:t>tenant area in multi-unit building</w:t>
            </w:r>
            <w:r w:rsidR="00D21ECB">
              <w:t>, b</w:t>
            </w:r>
            <w:r>
              <w:t>ase building</w:t>
            </w:r>
            <w:r w:rsidR="00D21ECB">
              <w:t>, w</w:t>
            </w:r>
            <w:r>
              <w:t>hole building</w:t>
            </w:r>
            <w:r w:rsidR="00D21ECB">
              <w:t>, m</w:t>
            </w:r>
            <w:r>
              <w:t>ulti-building development</w:t>
            </w:r>
            <w:r w:rsidR="00D21ECB">
              <w:t>, p</w:t>
            </w:r>
            <w:r>
              <w:t>ortfolio (base building or whole building</w:t>
            </w:r>
            <w:r w:rsidR="00D21ECB">
              <w:t xml:space="preserve"> etc.</w:t>
            </w:r>
            <w:r w:rsidR="00501BD8">
              <w:t>)</w:t>
            </w:r>
          </w:p>
        </w:tc>
      </w:tr>
      <w:tr w:rsidR="00682BA5" w14:paraId="6CEC21C6" w14:textId="77777777" w:rsidTr="007A0276">
        <w:tc>
          <w:tcPr>
            <w:tcW w:w="13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1" w14:textId="77777777" w:rsidR="00682BA5" w:rsidRDefault="00E771CD">
            <w:r>
              <w:t>Assessed area</w:t>
            </w:r>
          </w:p>
        </w:tc>
        <w:tc>
          <w:tcPr>
            <w:tcW w:w="3613" w:type="pct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2" w14:textId="77777777" w:rsidR="00682BA5" w:rsidRDefault="00E771CD">
            <w:r>
              <w:t>NLA, GLA</w:t>
            </w:r>
          </w:p>
        </w:tc>
      </w:tr>
      <w:tr w:rsidR="00682BA5" w14:paraId="39D89D5E" w14:textId="77777777" w:rsidTr="007A0276">
        <w:tc>
          <w:tcPr>
            <w:tcW w:w="13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3" w14:textId="77777777" w:rsidR="00682BA5" w:rsidRDefault="00E771CD">
            <w:r>
              <w:t>Percentage of total building area</w:t>
            </w:r>
          </w:p>
        </w:tc>
        <w:tc>
          <w:tcPr>
            <w:tcW w:w="3613" w:type="pct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4" w14:textId="77777777" w:rsidR="00682BA5" w:rsidRDefault="00E771CD">
            <w:proofErr w:type="gramStart"/>
            <w:r>
              <w:t>I.e.</w:t>
            </w:r>
            <w:proofErr w:type="gramEnd"/>
            <w:r>
              <w:t xml:space="preserve"> assessed area / total building area</w:t>
            </w:r>
          </w:p>
        </w:tc>
      </w:tr>
      <w:tr w:rsidR="00682BA5" w14:paraId="6F044179" w14:textId="77777777" w:rsidTr="007A0276">
        <w:tc>
          <w:tcPr>
            <w:tcW w:w="13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7" w14:textId="77777777" w:rsidR="00682BA5" w:rsidRDefault="00E771CD">
            <w:r>
              <w:t>Data sources</w:t>
            </w:r>
          </w:p>
        </w:tc>
        <w:tc>
          <w:tcPr>
            <w:tcW w:w="3613" w:type="pct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8" w14:textId="77777777" w:rsidR="00682BA5" w:rsidRDefault="00E771CD">
            <w:r>
              <w:t>List all data sources used in the assessment</w:t>
            </w:r>
          </w:p>
        </w:tc>
      </w:tr>
    </w:tbl>
    <w:p w14:paraId="000002E9" w14:textId="77777777" w:rsidR="00682BA5" w:rsidRDefault="00682BA5"/>
    <w:p w14:paraId="000002EA" w14:textId="77777777" w:rsidR="00682BA5" w:rsidRDefault="00E771CD">
      <w:pPr>
        <w:rPr>
          <w:b/>
        </w:rPr>
      </w:pPr>
      <w:r>
        <w:br w:type="page"/>
      </w:r>
    </w:p>
    <w:p w14:paraId="6642F9DC" w14:textId="77777777" w:rsidR="009B55BB" w:rsidRDefault="009B55BB" w:rsidP="00B62E36">
      <w:pPr>
        <w:pStyle w:val="Heading2"/>
        <w:spacing w:after="120"/>
      </w:pPr>
    </w:p>
    <w:p w14:paraId="000002EC" w14:textId="310D4CAB" w:rsidR="00682BA5" w:rsidRDefault="00E771CD" w:rsidP="00B62E36">
      <w:pPr>
        <w:pStyle w:val="Heading2"/>
        <w:spacing w:after="120"/>
      </w:pPr>
      <w:r>
        <w:t>Energy</w:t>
      </w:r>
      <w:r w:rsidR="005B1FFA">
        <w:t xml:space="preserve"> – overall</w:t>
      </w:r>
      <w:r>
        <w:t xml:space="preserve">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960"/>
        <w:gridCol w:w="1880"/>
        <w:gridCol w:w="1880"/>
      </w:tblGrid>
      <w:tr w:rsidR="00682BA5" w14:paraId="1150BD37" w14:textId="77777777" w:rsidTr="007A0276">
        <w:tc>
          <w:tcPr>
            <w:tcW w:w="30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D" w14:textId="77777777" w:rsidR="00682BA5" w:rsidRDefault="00E771CD">
            <w:pPr>
              <w:rPr>
                <w:b/>
              </w:rPr>
            </w:pPr>
            <w:r>
              <w:rPr>
                <w:b/>
              </w:rPr>
              <w:t>Indicator</w:t>
            </w:r>
          </w:p>
        </w:tc>
        <w:tc>
          <w:tcPr>
            <w:tcW w:w="9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E" w14:textId="77777777" w:rsidR="00682BA5" w:rsidRDefault="00E77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kWh</w:t>
            </w:r>
          </w:p>
        </w:tc>
        <w:tc>
          <w:tcPr>
            <w:tcW w:w="967" w:type="pct"/>
            <w:shd w:val="clear" w:color="auto" w:fill="auto"/>
          </w:tcPr>
          <w:p w14:paraId="000002EF" w14:textId="77777777" w:rsidR="00682BA5" w:rsidRDefault="00E77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kWh/m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682BA5" w14:paraId="61779D01" w14:textId="77777777" w:rsidTr="007A0276">
        <w:tc>
          <w:tcPr>
            <w:tcW w:w="30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0" w14:textId="77777777" w:rsidR="00682BA5" w:rsidRDefault="00E771CD">
            <w:bookmarkStart w:id="2" w:name="_sqyw64" w:colFirst="0" w:colLast="0"/>
            <w:bookmarkEnd w:id="2"/>
            <w:r>
              <w:t>Total annual energy consumption</w:t>
            </w:r>
          </w:p>
        </w:tc>
        <w:tc>
          <w:tcPr>
            <w:tcW w:w="967" w:type="pct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1" w14:textId="77777777" w:rsidR="00682BA5" w:rsidRDefault="00682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67" w:type="pct"/>
            <w:shd w:val="clear" w:color="auto" w:fill="CFE2F3"/>
          </w:tcPr>
          <w:p w14:paraId="000002F2" w14:textId="77777777" w:rsidR="00682BA5" w:rsidRDefault="00682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82BA5" w14:paraId="44CF07C7" w14:textId="77777777" w:rsidTr="007A0276">
        <w:tc>
          <w:tcPr>
            <w:tcW w:w="30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3" w14:textId="77777777" w:rsidR="00682BA5" w:rsidRDefault="00E771CD">
            <w:r>
              <w:t xml:space="preserve">Total annual electricity consumption </w:t>
            </w:r>
          </w:p>
        </w:tc>
        <w:tc>
          <w:tcPr>
            <w:tcW w:w="967" w:type="pct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4" w14:textId="77777777" w:rsidR="00682BA5" w:rsidRDefault="00682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67" w:type="pct"/>
            <w:shd w:val="clear" w:color="auto" w:fill="CFE2F3"/>
          </w:tcPr>
          <w:p w14:paraId="000002F5" w14:textId="77777777" w:rsidR="00682BA5" w:rsidRDefault="00682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82BA5" w14:paraId="556A4405" w14:textId="77777777" w:rsidTr="007A0276">
        <w:tc>
          <w:tcPr>
            <w:tcW w:w="30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6" w14:textId="20194AB2" w:rsidR="00682BA5" w:rsidRPr="00084B38" w:rsidRDefault="00E771CD">
            <w:r w:rsidRPr="00084B38">
              <w:t xml:space="preserve">Total annual fuel consumption (all other sources </w:t>
            </w:r>
            <w:proofErr w:type="gramStart"/>
            <w:r w:rsidRPr="00084B38">
              <w:t>e.g.</w:t>
            </w:r>
            <w:proofErr w:type="gramEnd"/>
            <w:r w:rsidRPr="00084B38">
              <w:t xml:space="preserve"> </w:t>
            </w:r>
            <w:r w:rsidR="00AD1D3B" w:rsidRPr="00084B38">
              <w:t xml:space="preserve">natural </w:t>
            </w:r>
            <w:r w:rsidRPr="00084B38">
              <w:t xml:space="preserve">gas, </w:t>
            </w:r>
            <w:r w:rsidR="00AD1D3B" w:rsidRPr="00084B38">
              <w:t xml:space="preserve">‘green gas’, </w:t>
            </w:r>
            <w:r w:rsidRPr="00084B38">
              <w:t>heat network) per fuel</w:t>
            </w:r>
            <w:r w:rsidR="008B6DB8" w:rsidRPr="00084B38">
              <w:t>/delivery</w:t>
            </w:r>
            <w:r w:rsidRPr="00084B38">
              <w:t xml:space="preserve"> type</w:t>
            </w:r>
          </w:p>
        </w:tc>
        <w:tc>
          <w:tcPr>
            <w:tcW w:w="967" w:type="pct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7" w14:textId="77777777" w:rsidR="00682BA5" w:rsidRDefault="00682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67" w:type="pct"/>
            <w:shd w:val="clear" w:color="auto" w:fill="CFE2F3"/>
          </w:tcPr>
          <w:p w14:paraId="000002F8" w14:textId="77777777" w:rsidR="00682BA5" w:rsidRDefault="00682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82BA5" w14:paraId="68C04EC7" w14:textId="77777777" w:rsidTr="00D11F14">
        <w:tc>
          <w:tcPr>
            <w:tcW w:w="30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9" w14:textId="47F2EE5F" w:rsidR="00682BA5" w:rsidRPr="00084B38" w:rsidRDefault="00B13F58" w:rsidP="00D11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Total </w:t>
            </w:r>
            <w:r w:rsidR="000D5803" w:rsidRPr="000D5803">
              <w:t>annual electricity exported by renewable energy sources minus storage losses (</w:t>
            </w:r>
            <w:proofErr w:type="gramStart"/>
            <w:r w:rsidR="000D5803" w:rsidRPr="000D5803">
              <w:t>e.g.</w:t>
            </w:r>
            <w:proofErr w:type="gramEnd"/>
            <w:r w:rsidR="000D5803" w:rsidRPr="000D5803">
              <w:t xml:space="preserve"> photovoltaic)</w:t>
            </w:r>
          </w:p>
        </w:tc>
        <w:tc>
          <w:tcPr>
            <w:tcW w:w="967" w:type="pct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A" w14:textId="77777777" w:rsidR="00682BA5" w:rsidRDefault="00682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67" w:type="pct"/>
            <w:shd w:val="clear" w:color="auto" w:fill="CFE2F3"/>
          </w:tcPr>
          <w:p w14:paraId="000002FB" w14:textId="77777777" w:rsidR="00682BA5" w:rsidRDefault="00682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17CC8437" w14:textId="77777777" w:rsidR="00D11F14" w:rsidRDefault="00D11F14" w:rsidP="007641A7">
      <w:pPr>
        <w:pStyle w:val="Heading2"/>
        <w:spacing w:after="120"/>
      </w:pPr>
    </w:p>
    <w:p w14:paraId="2B218679" w14:textId="775D672C" w:rsidR="007641A7" w:rsidRDefault="007641A7" w:rsidP="007641A7">
      <w:pPr>
        <w:pStyle w:val="Heading2"/>
        <w:spacing w:after="120"/>
      </w:pPr>
      <w:r>
        <w:t xml:space="preserve">Renewable </w:t>
      </w:r>
      <w:r w:rsidR="00090932">
        <w:t>electricity</w:t>
      </w:r>
      <w:r w:rsidR="00A732AD">
        <w:t xml:space="preserve"> </w:t>
      </w:r>
      <w:r>
        <w:t>procurement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960"/>
        <w:gridCol w:w="1880"/>
        <w:gridCol w:w="1880"/>
      </w:tblGrid>
      <w:tr w:rsidR="007641A7" w14:paraId="7609A71D" w14:textId="77777777" w:rsidTr="006F76CB">
        <w:tc>
          <w:tcPr>
            <w:tcW w:w="30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1A743" w14:textId="77777777" w:rsidR="007641A7" w:rsidRDefault="007641A7" w:rsidP="006F76CB">
            <w:pPr>
              <w:rPr>
                <w:b/>
              </w:rPr>
            </w:pPr>
            <w:r>
              <w:rPr>
                <w:b/>
              </w:rPr>
              <w:t>Indicator</w:t>
            </w:r>
          </w:p>
        </w:tc>
        <w:tc>
          <w:tcPr>
            <w:tcW w:w="9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A6EE2" w14:textId="77777777" w:rsidR="007641A7" w:rsidRDefault="007641A7" w:rsidP="006F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kWh</w:t>
            </w:r>
          </w:p>
        </w:tc>
        <w:tc>
          <w:tcPr>
            <w:tcW w:w="967" w:type="pct"/>
            <w:shd w:val="clear" w:color="auto" w:fill="auto"/>
          </w:tcPr>
          <w:p w14:paraId="3D7CC11F" w14:textId="0BCC9623" w:rsidR="007641A7" w:rsidRDefault="007641A7" w:rsidP="006F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7641A7" w14:paraId="18E02AEE" w14:textId="77777777" w:rsidTr="006F76CB">
        <w:tc>
          <w:tcPr>
            <w:tcW w:w="30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CF01B" w14:textId="0286AB6F" w:rsidR="007641A7" w:rsidRDefault="00F371E5" w:rsidP="006F76CB">
            <w:r w:rsidRPr="00895EF4">
              <w:t>Total a</w:t>
            </w:r>
            <w:r w:rsidR="00B00C2E" w:rsidRPr="00895EF4">
              <w:t>nnual electricity consumption</w:t>
            </w:r>
            <w:r w:rsidR="00D153B8" w:rsidRPr="00895EF4">
              <w:t>: a row</w:t>
            </w:r>
            <w:r w:rsidR="008A29FC" w:rsidRPr="00895EF4">
              <w:t xml:space="preserve"> </w:t>
            </w:r>
            <w:r w:rsidR="00D148B8" w:rsidRPr="00895EF4">
              <w:t>per procurement route (</w:t>
            </w:r>
            <w:r w:rsidR="00796DB1" w:rsidRPr="00895EF4">
              <w:t xml:space="preserve">Refer to Table 9-10 of the </w:t>
            </w:r>
            <w:hyperlink r:id="rId11" w:history="1">
              <w:r w:rsidR="00796DB1" w:rsidRPr="00C66361">
                <w:rPr>
                  <w:rStyle w:val="Hyperlink"/>
                </w:rPr>
                <w:t>Renewable Energy Procurement &amp; Carbon Offsetting guidance</w:t>
              </w:r>
            </w:hyperlink>
            <w:r w:rsidR="00796DB1" w:rsidRPr="00895EF4">
              <w:t>)</w:t>
            </w:r>
          </w:p>
        </w:tc>
        <w:tc>
          <w:tcPr>
            <w:tcW w:w="967" w:type="pct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41D4A" w14:textId="77777777" w:rsidR="007641A7" w:rsidRDefault="007641A7" w:rsidP="006F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67" w:type="pct"/>
            <w:shd w:val="clear" w:color="auto" w:fill="CFE2F3"/>
          </w:tcPr>
          <w:p w14:paraId="6C9485DC" w14:textId="77777777" w:rsidR="007641A7" w:rsidRDefault="007641A7" w:rsidP="006F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35C12" w14:paraId="75A8453E" w14:textId="77777777" w:rsidTr="00E71B2C">
        <w:tc>
          <w:tcPr>
            <w:tcW w:w="3066" w:type="pct"/>
            <w:tcBorders>
              <w:left w:val="nil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F5F25" w14:textId="77777777" w:rsidR="00535C12" w:rsidRDefault="00535C12" w:rsidP="006F76CB">
            <w:pPr>
              <w:rPr>
                <w:color w:val="F79646" w:themeColor="accent6"/>
              </w:rPr>
            </w:pPr>
          </w:p>
        </w:tc>
        <w:tc>
          <w:tcPr>
            <w:tcW w:w="967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1C0A5" w14:textId="4D92C9B3" w:rsidR="00535C12" w:rsidRDefault="00E71B2C" w:rsidP="00E7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right"/>
            </w:pPr>
            <w:r>
              <w:t>Total</w:t>
            </w:r>
          </w:p>
        </w:tc>
        <w:tc>
          <w:tcPr>
            <w:tcW w:w="967" w:type="pct"/>
            <w:shd w:val="clear" w:color="auto" w:fill="FFFFFF" w:themeFill="background1"/>
          </w:tcPr>
          <w:p w14:paraId="0268483F" w14:textId="05A668FF" w:rsidR="00535C12" w:rsidRDefault="00E71B2C" w:rsidP="00E7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100%</w:t>
            </w:r>
          </w:p>
        </w:tc>
      </w:tr>
    </w:tbl>
    <w:p w14:paraId="5D6B7218" w14:textId="676B036B" w:rsidR="007641A7" w:rsidRDefault="007641A7" w:rsidP="007641A7"/>
    <w:p w14:paraId="08C0D7B0" w14:textId="77777777" w:rsidR="00796DB1" w:rsidRPr="007641A7" w:rsidRDefault="00796DB1" w:rsidP="007641A7"/>
    <w:p w14:paraId="27E86736" w14:textId="1A9B8288" w:rsidR="007641A7" w:rsidRDefault="007641A7" w:rsidP="007641A7">
      <w:pPr>
        <w:rPr>
          <w:b/>
          <w:color w:val="D9117B"/>
        </w:rPr>
      </w:pPr>
      <w:r w:rsidRPr="00084B38">
        <w:rPr>
          <w:b/>
          <w:color w:val="D9117B"/>
        </w:rPr>
        <w:t>Supplementary narratives required:</w:t>
      </w:r>
    </w:p>
    <w:p w14:paraId="5AEB6D14" w14:textId="77777777" w:rsidR="00084B38" w:rsidRPr="00084B38" w:rsidRDefault="00084B38" w:rsidP="007641A7">
      <w:pPr>
        <w:rPr>
          <w:b/>
          <w:color w:val="D9117B"/>
        </w:rPr>
      </w:pPr>
    </w:p>
    <w:p w14:paraId="57FFC70D" w14:textId="76A1B2D4" w:rsidR="007641A7" w:rsidRDefault="00D778A6" w:rsidP="007641A7">
      <w:pPr>
        <w:pStyle w:val="ListParagraph"/>
        <w:numPr>
          <w:ilvl w:val="0"/>
          <w:numId w:val="33"/>
        </w:numPr>
        <w:rPr>
          <w:bCs/>
        </w:rPr>
      </w:pPr>
      <w:r>
        <w:rPr>
          <w:bCs/>
        </w:rPr>
        <w:t>Where interim EUI targets have not been met: an a</w:t>
      </w:r>
      <w:r w:rsidR="007641A7" w:rsidRPr="007641A7">
        <w:rPr>
          <w:bCs/>
        </w:rPr>
        <w:t xml:space="preserve">ction plan </w:t>
      </w:r>
      <w:r>
        <w:rPr>
          <w:bCs/>
        </w:rPr>
        <w:t>setting out how the target will be met in subsequent years</w:t>
      </w:r>
    </w:p>
    <w:p w14:paraId="71D07449" w14:textId="6CB6EBF3" w:rsidR="007641A7" w:rsidRPr="00084B38" w:rsidRDefault="007641A7" w:rsidP="007641A7">
      <w:pPr>
        <w:pStyle w:val="ListParagraph"/>
        <w:numPr>
          <w:ilvl w:val="0"/>
          <w:numId w:val="33"/>
        </w:numPr>
        <w:rPr>
          <w:bCs/>
          <w:color w:val="000000" w:themeColor="text1"/>
        </w:rPr>
      </w:pPr>
      <w:r w:rsidRPr="00084B38">
        <w:rPr>
          <w:bCs/>
          <w:color w:val="000000" w:themeColor="text1"/>
        </w:rPr>
        <w:t>For existing buildings utilising fossil fuel based heating, hot water</w:t>
      </w:r>
      <w:r w:rsidR="0095224E">
        <w:rPr>
          <w:bCs/>
          <w:color w:val="000000" w:themeColor="text1"/>
        </w:rPr>
        <w:t xml:space="preserve">, </w:t>
      </w:r>
      <w:r w:rsidR="00397EE2">
        <w:rPr>
          <w:bCs/>
          <w:color w:val="000000" w:themeColor="text1"/>
        </w:rPr>
        <w:t xml:space="preserve">and </w:t>
      </w:r>
      <w:r w:rsidRPr="00084B38">
        <w:rPr>
          <w:bCs/>
          <w:color w:val="000000" w:themeColor="text1"/>
        </w:rPr>
        <w:t>cooking: a trajectory plan setting out how fossil fuels will be phased out by its next system replacement cycle</w:t>
      </w:r>
      <w:r w:rsidR="00FA23AE">
        <w:rPr>
          <w:bCs/>
          <w:color w:val="000000" w:themeColor="text1"/>
        </w:rPr>
        <w:t>.</w:t>
      </w:r>
      <w:r w:rsidR="005F1596">
        <w:rPr>
          <w:bCs/>
          <w:color w:val="000000" w:themeColor="text1"/>
        </w:rPr>
        <w:t xml:space="preserve"> The plan should also indicate how all </w:t>
      </w:r>
      <w:r w:rsidR="00C41CA5">
        <w:rPr>
          <w:bCs/>
          <w:color w:val="000000" w:themeColor="text1"/>
        </w:rPr>
        <w:t xml:space="preserve">other </w:t>
      </w:r>
      <w:r w:rsidR="005F1596">
        <w:rPr>
          <w:bCs/>
          <w:color w:val="000000" w:themeColor="text1"/>
        </w:rPr>
        <w:t xml:space="preserve">energy systems </w:t>
      </w:r>
      <w:r w:rsidR="00C41CA5">
        <w:rPr>
          <w:bCs/>
          <w:color w:val="000000" w:themeColor="text1"/>
        </w:rPr>
        <w:t xml:space="preserve">will be </w:t>
      </w:r>
      <w:r w:rsidR="005F1596">
        <w:rPr>
          <w:bCs/>
          <w:color w:val="000000" w:themeColor="text1"/>
        </w:rPr>
        <w:t xml:space="preserve">compatible </w:t>
      </w:r>
      <w:r w:rsidR="00C41CA5" w:rsidRPr="00C41CA5">
        <w:rPr>
          <w:bCs/>
          <w:color w:val="000000" w:themeColor="text1"/>
        </w:rPr>
        <w:t>with being powered from renewable energy sources by their next system replacement cycle</w:t>
      </w:r>
      <w:r w:rsidR="00C41CA5">
        <w:rPr>
          <w:bCs/>
          <w:color w:val="000000" w:themeColor="text1"/>
        </w:rPr>
        <w:t>.</w:t>
      </w:r>
    </w:p>
    <w:p w14:paraId="4EE4531C" w14:textId="25B45C42" w:rsidR="007641A7" w:rsidRPr="00084B38" w:rsidRDefault="007641A7" w:rsidP="00AC6D89">
      <w:pPr>
        <w:pStyle w:val="ListParagraph"/>
        <w:numPr>
          <w:ilvl w:val="0"/>
          <w:numId w:val="33"/>
        </w:numPr>
        <w:rPr>
          <w:b/>
          <w:color w:val="000000" w:themeColor="text1"/>
        </w:rPr>
      </w:pPr>
      <w:r w:rsidRPr="00084B38">
        <w:rPr>
          <w:bCs/>
          <w:color w:val="000000" w:themeColor="text1"/>
        </w:rPr>
        <w:t>Supporting procurement information, e.g., supplier and green tariff name</w:t>
      </w:r>
      <w:r w:rsidR="00597190" w:rsidRPr="00084B38">
        <w:rPr>
          <w:bCs/>
          <w:color w:val="000000" w:themeColor="text1"/>
        </w:rPr>
        <w:t>, REGO registry entry</w:t>
      </w:r>
      <w:r w:rsidR="00A84B07" w:rsidRPr="00084B38">
        <w:rPr>
          <w:bCs/>
          <w:color w:val="000000" w:themeColor="text1"/>
        </w:rPr>
        <w:br/>
        <w:t xml:space="preserve">(Refer </w:t>
      </w:r>
      <w:r w:rsidR="00A84B07" w:rsidRPr="00830132">
        <w:rPr>
          <w:bCs/>
          <w:color w:val="000000" w:themeColor="text1"/>
        </w:rPr>
        <w:t xml:space="preserve">to Table </w:t>
      </w:r>
      <w:r w:rsidR="00026E76" w:rsidRPr="00830132">
        <w:rPr>
          <w:bCs/>
          <w:color w:val="000000" w:themeColor="text1"/>
        </w:rPr>
        <w:t>9-10</w:t>
      </w:r>
      <w:r w:rsidR="00A84B07" w:rsidRPr="00830132">
        <w:rPr>
          <w:bCs/>
          <w:color w:val="000000" w:themeColor="text1"/>
        </w:rPr>
        <w:t xml:space="preserve"> of </w:t>
      </w:r>
      <w:hyperlink r:id="rId12" w:history="1">
        <w:r w:rsidR="00A84B07" w:rsidRPr="00552FE1">
          <w:rPr>
            <w:rStyle w:val="Hyperlink"/>
            <w:bCs/>
          </w:rPr>
          <w:t>the Renewable Energy Procurement &amp; Carbon Offsetting guidance</w:t>
        </w:r>
      </w:hyperlink>
      <w:r w:rsidR="00A84B07" w:rsidRPr="00084B38">
        <w:rPr>
          <w:bCs/>
          <w:color w:val="000000" w:themeColor="text1"/>
        </w:rPr>
        <w:t>)</w:t>
      </w:r>
    </w:p>
    <w:p w14:paraId="3F1527CE" w14:textId="77777777" w:rsidR="009B55BB" w:rsidRDefault="009B55BB" w:rsidP="009B55BB"/>
    <w:p w14:paraId="108AE9EB" w14:textId="77777777" w:rsidR="009B55BB" w:rsidRDefault="009B55BB" w:rsidP="009B55BB"/>
    <w:p w14:paraId="7B7E1CF5" w14:textId="77777777" w:rsidR="009B55BB" w:rsidRDefault="009B55BB" w:rsidP="009B55BB"/>
    <w:p w14:paraId="4F82F6A8" w14:textId="77777777" w:rsidR="009B55BB" w:rsidRDefault="009B55BB" w:rsidP="009B55BB"/>
    <w:p w14:paraId="44DAAA9B" w14:textId="77777777" w:rsidR="009B55BB" w:rsidRDefault="009B55BB" w:rsidP="009B55BB"/>
    <w:p w14:paraId="2701055C" w14:textId="77777777" w:rsidR="009B55BB" w:rsidRDefault="009B55BB" w:rsidP="009B55BB"/>
    <w:p w14:paraId="7EEAB441" w14:textId="77777777" w:rsidR="009B55BB" w:rsidRDefault="009B55BB" w:rsidP="009B55BB"/>
    <w:p w14:paraId="0DE706D0" w14:textId="77777777" w:rsidR="009B55BB" w:rsidRDefault="009B55BB" w:rsidP="009B55BB"/>
    <w:p w14:paraId="6F1B3F20" w14:textId="77777777" w:rsidR="009B55BB" w:rsidRDefault="009B55BB" w:rsidP="009B55BB"/>
    <w:p w14:paraId="6B90BC18" w14:textId="77777777" w:rsidR="009B55BB" w:rsidRDefault="009B55BB" w:rsidP="009B55BB"/>
    <w:p w14:paraId="77431C7E" w14:textId="77777777" w:rsidR="009B55BB" w:rsidRDefault="009B55BB" w:rsidP="009B55BB"/>
    <w:p w14:paraId="76F0F3AE" w14:textId="77777777" w:rsidR="008E79B9" w:rsidRDefault="008E79B9" w:rsidP="009B55BB"/>
    <w:p w14:paraId="000002FE" w14:textId="64EBA490" w:rsidR="00682BA5" w:rsidRDefault="00E771CD" w:rsidP="00B62E36">
      <w:pPr>
        <w:pStyle w:val="Heading2"/>
        <w:spacing w:after="120"/>
      </w:pPr>
      <w:r>
        <w:lastRenderedPageBreak/>
        <w:t>Carbon</w:t>
      </w:r>
    </w:p>
    <w:p w14:paraId="0CEAFA38" w14:textId="77777777" w:rsidR="009B55BB" w:rsidRPr="009B55BB" w:rsidRDefault="009B55BB" w:rsidP="009B55BB"/>
    <w:tbl>
      <w:tblPr>
        <w:tblW w:w="9639" w:type="dxa"/>
        <w:tblLook w:val="04A0" w:firstRow="1" w:lastRow="0" w:firstColumn="1" w:lastColumn="0" w:noHBand="0" w:noVBand="1"/>
      </w:tblPr>
      <w:tblGrid>
        <w:gridCol w:w="2976"/>
        <w:gridCol w:w="1277"/>
        <w:gridCol w:w="1346"/>
        <w:gridCol w:w="1347"/>
        <w:gridCol w:w="1346"/>
        <w:gridCol w:w="1347"/>
      </w:tblGrid>
      <w:tr w:rsidR="0098140B" w:rsidRPr="0098140B" w14:paraId="222EA629" w14:textId="77777777" w:rsidTr="00902319">
        <w:trPr>
          <w:trHeight w:val="30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F8BDB" w14:textId="77777777" w:rsidR="0098140B" w:rsidRPr="0098140B" w:rsidRDefault="0098140B" w:rsidP="00981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1FFD" w14:textId="77777777" w:rsidR="0098140B" w:rsidRPr="00902319" w:rsidRDefault="0098140B" w:rsidP="00902319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902319">
              <w:rPr>
                <w:rFonts w:eastAsia="Times New Roman"/>
                <w:b/>
                <w:bCs/>
                <w:color w:val="000000"/>
                <w:lang w:eastAsia="en-GB"/>
              </w:rPr>
              <w:t>Dual reporting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CEB4" w14:textId="77777777" w:rsidR="0098140B" w:rsidRPr="00902319" w:rsidRDefault="0098140B" w:rsidP="00902319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902319">
              <w:rPr>
                <w:rFonts w:eastAsia="Times New Roman"/>
                <w:b/>
                <w:bCs/>
                <w:color w:val="000000"/>
                <w:lang w:eastAsia="en-GB"/>
              </w:rPr>
              <w:t>NZCB Framework Definition approach</w:t>
            </w:r>
          </w:p>
        </w:tc>
      </w:tr>
      <w:tr w:rsidR="0098140B" w:rsidRPr="0098140B" w14:paraId="18FA9267" w14:textId="77777777" w:rsidTr="00902319">
        <w:trPr>
          <w:trHeight w:val="90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93368" w14:textId="77777777" w:rsidR="0098140B" w:rsidRPr="0098140B" w:rsidRDefault="0098140B" w:rsidP="0098140B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05AE" w14:textId="77777777" w:rsidR="0098140B" w:rsidRPr="0098140B" w:rsidRDefault="0098140B" w:rsidP="00902319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98140B">
              <w:rPr>
                <w:rFonts w:eastAsia="Times New Roman"/>
                <w:color w:val="000000"/>
                <w:lang w:eastAsia="en-GB"/>
              </w:rPr>
              <w:t>Scope 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C971" w14:textId="77777777" w:rsidR="0098140B" w:rsidRPr="0098140B" w:rsidRDefault="0098140B" w:rsidP="00902319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98140B">
              <w:rPr>
                <w:rFonts w:eastAsia="Times New Roman"/>
                <w:color w:val="000000"/>
                <w:lang w:eastAsia="en-GB"/>
              </w:rPr>
              <w:t>Scope 2 (location-based)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B6BE" w14:textId="77777777" w:rsidR="0098140B" w:rsidRPr="0098140B" w:rsidRDefault="0098140B" w:rsidP="00902319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98140B">
              <w:rPr>
                <w:rFonts w:eastAsia="Times New Roman"/>
                <w:color w:val="000000"/>
                <w:lang w:eastAsia="en-GB"/>
              </w:rPr>
              <w:t>Scope 2 (market-based)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3D77" w14:textId="77777777" w:rsidR="0098140B" w:rsidRPr="0098140B" w:rsidRDefault="0098140B" w:rsidP="00902319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98140B">
              <w:rPr>
                <w:rFonts w:eastAsia="Times New Roman"/>
                <w:color w:val="000000"/>
                <w:lang w:eastAsia="en-GB"/>
              </w:rPr>
              <w:t>Scope 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B8AD" w14:textId="77777777" w:rsidR="0098140B" w:rsidRPr="0098140B" w:rsidRDefault="0098140B" w:rsidP="00902319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98140B">
              <w:rPr>
                <w:rFonts w:eastAsia="Times New Roman"/>
                <w:color w:val="000000"/>
                <w:lang w:eastAsia="en-GB"/>
              </w:rPr>
              <w:t>Scope 2</w:t>
            </w:r>
          </w:p>
        </w:tc>
      </w:tr>
      <w:tr w:rsidR="0098140B" w:rsidRPr="0098140B" w14:paraId="2F6CBA75" w14:textId="77777777" w:rsidTr="00902319">
        <w:trPr>
          <w:trHeight w:val="9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2CD1" w14:textId="7450EC00" w:rsidR="0098140B" w:rsidRPr="0098140B" w:rsidRDefault="0098140B" w:rsidP="00902319">
            <w:pPr>
              <w:rPr>
                <w:rFonts w:eastAsia="Times New Roman"/>
                <w:color w:val="000000"/>
                <w:lang w:eastAsia="en-GB"/>
              </w:rPr>
            </w:pPr>
            <w:r w:rsidRPr="0098140B">
              <w:rPr>
                <w:rFonts w:eastAsia="Times New Roman"/>
                <w:color w:val="000000"/>
                <w:lang w:eastAsia="en-GB"/>
              </w:rPr>
              <w:t>Total annual direct CO</w:t>
            </w:r>
            <w:r w:rsidRPr="0098140B">
              <w:rPr>
                <w:rFonts w:eastAsia="Times New Roman"/>
                <w:color w:val="000000"/>
                <w:vertAlign w:val="subscript"/>
                <w:lang w:eastAsia="en-GB"/>
              </w:rPr>
              <w:t>2</w:t>
            </w:r>
            <w:r w:rsidRPr="0098140B">
              <w:rPr>
                <w:rFonts w:eastAsia="Times New Roman"/>
                <w:color w:val="000000"/>
                <w:lang w:eastAsia="en-GB"/>
              </w:rPr>
              <w:t>e emissions from self-generation and consumption</w:t>
            </w:r>
            <w:r w:rsidR="004B2F08">
              <w:rPr>
                <w:rFonts w:eastAsia="Times New Roman"/>
                <w:color w:val="000000"/>
                <w:lang w:eastAsia="en-GB"/>
              </w:rPr>
              <w:br/>
            </w:r>
            <w:r w:rsidR="004B2F08" w:rsidRPr="00D23840">
              <w:rPr>
                <w:rFonts w:eastAsia="Times New Roman"/>
                <w:color w:val="000000"/>
                <w:lang w:eastAsia="en-GB"/>
              </w:rPr>
              <w:t>(tCO</w:t>
            </w:r>
            <w:r w:rsidR="004B2F08" w:rsidRPr="00D23840">
              <w:rPr>
                <w:rFonts w:eastAsia="Times New Roman"/>
                <w:color w:val="000000"/>
                <w:vertAlign w:val="subscript"/>
                <w:lang w:eastAsia="en-GB"/>
              </w:rPr>
              <w:t>2</w:t>
            </w:r>
            <w:r w:rsidR="004B2F08" w:rsidRPr="00D23840">
              <w:rPr>
                <w:rFonts w:eastAsia="Times New Roman"/>
                <w:color w:val="000000"/>
                <w:lang w:eastAsia="en-GB"/>
              </w:rPr>
              <w:t>e)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E2F3"/>
            <w:vAlign w:val="center"/>
            <w:hideMark/>
          </w:tcPr>
          <w:p w14:paraId="29F73EFF" w14:textId="77777777" w:rsidR="0098140B" w:rsidRPr="0098140B" w:rsidRDefault="0098140B" w:rsidP="00902319">
            <w:pPr>
              <w:rPr>
                <w:rFonts w:eastAsia="Times New Roman"/>
                <w:color w:val="000000"/>
                <w:lang w:eastAsia="en-GB"/>
              </w:rPr>
            </w:pPr>
            <w:r w:rsidRPr="0098140B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D3873CA" w14:textId="77777777" w:rsidR="0098140B" w:rsidRPr="0098140B" w:rsidRDefault="0098140B" w:rsidP="00902319">
            <w:pPr>
              <w:rPr>
                <w:rFonts w:eastAsia="Times New Roman"/>
                <w:color w:val="000000"/>
                <w:lang w:eastAsia="en-GB"/>
              </w:rPr>
            </w:pPr>
            <w:r w:rsidRPr="0098140B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9BEB3DF" w14:textId="77777777" w:rsidR="0098140B" w:rsidRPr="0098140B" w:rsidRDefault="0098140B" w:rsidP="00902319">
            <w:pPr>
              <w:rPr>
                <w:rFonts w:eastAsia="Times New Roman"/>
                <w:color w:val="000000"/>
                <w:lang w:eastAsia="en-GB"/>
              </w:rPr>
            </w:pPr>
            <w:r w:rsidRPr="0098140B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E2F3"/>
            <w:vAlign w:val="center"/>
            <w:hideMark/>
          </w:tcPr>
          <w:p w14:paraId="34074149" w14:textId="77777777" w:rsidR="0098140B" w:rsidRPr="0098140B" w:rsidRDefault="0098140B" w:rsidP="00902319">
            <w:pPr>
              <w:rPr>
                <w:rFonts w:eastAsia="Times New Roman"/>
                <w:color w:val="000000"/>
                <w:lang w:eastAsia="en-GB"/>
              </w:rPr>
            </w:pPr>
            <w:r w:rsidRPr="0098140B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5606E1B" w14:textId="77777777" w:rsidR="0098140B" w:rsidRPr="0098140B" w:rsidRDefault="0098140B" w:rsidP="00902319">
            <w:pPr>
              <w:rPr>
                <w:rFonts w:eastAsia="Times New Roman"/>
                <w:color w:val="000000"/>
                <w:lang w:eastAsia="en-GB"/>
              </w:rPr>
            </w:pPr>
            <w:r w:rsidRPr="0098140B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98140B" w:rsidRPr="0098140B" w14:paraId="4454B19C" w14:textId="77777777" w:rsidTr="00902319">
        <w:trPr>
          <w:trHeight w:val="9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DA44" w14:textId="362CB8F0" w:rsidR="0098140B" w:rsidRPr="0098140B" w:rsidRDefault="0098140B" w:rsidP="00902319">
            <w:pPr>
              <w:rPr>
                <w:rFonts w:eastAsia="Times New Roman"/>
                <w:color w:val="000000"/>
                <w:lang w:eastAsia="en-GB"/>
              </w:rPr>
            </w:pPr>
            <w:r w:rsidRPr="0098140B">
              <w:rPr>
                <w:rFonts w:eastAsia="Times New Roman"/>
                <w:color w:val="000000"/>
                <w:lang w:eastAsia="en-GB"/>
              </w:rPr>
              <w:t>Total annual indirect CO</w:t>
            </w:r>
            <w:r w:rsidRPr="0098140B">
              <w:rPr>
                <w:rFonts w:eastAsia="Times New Roman"/>
                <w:color w:val="000000"/>
                <w:vertAlign w:val="subscript"/>
                <w:lang w:eastAsia="en-GB"/>
              </w:rPr>
              <w:t>2</w:t>
            </w:r>
            <w:r w:rsidRPr="0098140B">
              <w:rPr>
                <w:rFonts w:eastAsia="Times New Roman"/>
                <w:color w:val="000000"/>
                <w:lang w:eastAsia="en-GB"/>
              </w:rPr>
              <w:t>e emissions from imported electricity</w:t>
            </w:r>
            <w:r w:rsidR="004B2F08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="004B2F08" w:rsidRPr="00D23840">
              <w:rPr>
                <w:rFonts w:eastAsia="Times New Roman"/>
                <w:color w:val="000000"/>
                <w:lang w:eastAsia="en-GB"/>
              </w:rPr>
              <w:t>(tCO</w:t>
            </w:r>
            <w:r w:rsidR="004B2F08" w:rsidRPr="00D23840">
              <w:rPr>
                <w:rFonts w:eastAsia="Times New Roman"/>
                <w:color w:val="000000"/>
                <w:vertAlign w:val="subscript"/>
                <w:lang w:eastAsia="en-GB"/>
              </w:rPr>
              <w:t>2</w:t>
            </w:r>
            <w:r w:rsidR="004B2F08" w:rsidRPr="00D23840">
              <w:rPr>
                <w:rFonts w:eastAsia="Times New Roman"/>
                <w:color w:val="000000"/>
                <w:lang w:eastAsia="en-GB"/>
              </w:rPr>
              <w:t>e)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B7752A6" w14:textId="77777777" w:rsidR="0098140B" w:rsidRPr="0098140B" w:rsidRDefault="0098140B" w:rsidP="00902319">
            <w:pPr>
              <w:rPr>
                <w:rFonts w:eastAsia="Times New Roman"/>
                <w:color w:val="000000"/>
                <w:lang w:eastAsia="en-GB"/>
              </w:rPr>
            </w:pPr>
            <w:r w:rsidRPr="0098140B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E2F3"/>
            <w:vAlign w:val="center"/>
            <w:hideMark/>
          </w:tcPr>
          <w:p w14:paraId="6BAA6C2A" w14:textId="77777777" w:rsidR="0098140B" w:rsidRPr="0098140B" w:rsidRDefault="0098140B" w:rsidP="00902319">
            <w:pPr>
              <w:rPr>
                <w:rFonts w:eastAsia="Times New Roman"/>
                <w:color w:val="000000"/>
                <w:lang w:eastAsia="en-GB"/>
              </w:rPr>
            </w:pPr>
            <w:r w:rsidRPr="0098140B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E2F3"/>
            <w:vAlign w:val="center"/>
            <w:hideMark/>
          </w:tcPr>
          <w:p w14:paraId="04047A80" w14:textId="77777777" w:rsidR="0098140B" w:rsidRPr="0098140B" w:rsidRDefault="0098140B" w:rsidP="00902319">
            <w:pPr>
              <w:rPr>
                <w:rFonts w:eastAsia="Times New Roman"/>
                <w:color w:val="000000"/>
                <w:lang w:eastAsia="en-GB"/>
              </w:rPr>
            </w:pPr>
            <w:r w:rsidRPr="0098140B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ADC4210" w14:textId="77777777" w:rsidR="0098140B" w:rsidRPr="0098140B" w:rsidRDefault="0098140B" w:rsidP="00902319">
            <w:pPr>
              <w:rPr>
                <w:rFonts w:eastAsia="Times New Roman"/>
                <w:color w:val="000000"/>
                <w:lang w:eastAsia="en-GB"/>
              </w:rPr>
            </w:pPr>
            <w:r w:rsidRPr="0098140B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E2F3"/>
            <w:vAlign w:val="center"/>
            <w:hideMark/>
          </w:tcPr>
          <w:p w14:paraId="2EDF372E" w14:textId="77777777" w:rsidR="0098140B" w:rsidRPr="0098140B" w:rsidRDefault="0098140B" w:rsidP="00902319">
            <w:pPr>
              <w:rPr>
                <w:rFonts w:eastAsia="Times New Roman"/>
                <w:color w:val="000000"/>
                <w:lang w:eastAsia="en-GB"/>
              </w:rPr>
            </w:pPr>
            <w:r w:rsidRPr="0098140B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98140B" w:rsidRPr="0098140B" w14:paraId="399219F9" w14:textId="77777777" w:rsidTr="00902319">
        <w:trPr>
          <w:trHeight w:val="12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759B" w14:textId="0FB8C3BC" w:rsidR="0098140B" w:rsidRPr="0098140B" w:rsidRDefault="0098140B" w:rsidP="00902319">
            <w:pPr>
              <w:rPr>
                <w:rFonts w:eastAsia="Times New Roman"/>
                <w:color w:val="000000"/>
                <w:lang w:eastAsia="en-GB"/>
              </w:rPr>
            </w:pPr>
            <w:r w:rsidRPr="0098140B">
              <w:rPr>
                <w:rFonts w:eastAsia="Times New Roman"/>
                <w:color w:val="000000"/>
                <w:lang w:eastAsia="en-GB"/>
              </w:rPr>
              <w:t>Total annual direct CO</w:t>
            </w:r>
            <w:r w:rsidRPr="0098140B">
              <w:rPr>
                <w:rFonts w:eastAsia="Times New Roman"/>
                <w:color w:val="000000"/>
                <w:vertAlign w:val="subscript"/>
                <w:lang w:eastAsia="en-GB"/>
              </w:rPr>
              <w:t>2</w:t>
            </w:r>
            <w:r w:rsidRPr="0098140B">
              <w:rPr>
                <w:rFonts w:eastAsia="Times New Roman"/>
                <w:color w:val="000000"/>
                <w:lang w:eastAsia="en-GB"/>
              </w:rPr>
              <w:t>e emissions from combustion of fuel (</w:t>
            </w:r>
            <w:proofErr w:type="gramStart"/>
            <w:r w:rsidRPr="0098140B">
              <w:rPr>
                <w:rFonts w:eastAsia="Times New Roman"/>
                <w:color w:val="000000"/>
                <w:lang w:eastAsia="en-GB"/>
              </w:rPr>
              <w:t>e.g.</w:t>
            </w:r>
            <w:proofErr w:type="gramEnd"/>
            <w:r w:rsidRPr="0098140B">
              <w:rPr>
                <w:rFonts w:eastAsia="Times New Roman"/>
                <w:color w:val="000000"/>
                <w:lang w:eastAsia="en-GB"/>
              </w:rPr>
              <w:t xml:space="preserve"> onsite gas) per fuel </w:t>
            </w:r>
            <w:r w:rsidRPr="00D23840">
              <w:rPr>
                <w:rFonts w:eastAsia="Times New Roman"/>
                <w:color w:val="000000"/>
                <w:lang w:eastAsia="en-GB"/>
              </w:rPr>
              <w:t>type</w:t>
            </w:r>
            <w:r w:rsidR="004B2F08" w:rsidRPr="00D23840">
              <w:rPr>
                <w:rFonts w:eastAsia="Times New Roman"/>
                <w:color w:val="000000"/>
                <w:lang w:eastAsia="en-GB"/>
              </w:rPr>
              <w:t xml:space="preserve"> (tCO</w:t>
            </w:r>
            <w:r w:rsidR="004B2F08" w:rsidRPr="00D23840">
              <w:rPr>
                <w:rFonts w:eastAsia="Times New Roman"/>
                <w:color w:val="000000"/>
                <w:vertAlign w:val="subscript"/>
                <w:lang w:eastAsia="en-GB"/>
              </w:rPr>
              <w:t>2</w:t>
            </w:r>
            <w:r w:rsidR="004B2F08" w:rsidRPr="00D23840">
              <w:rPr>
                <w:rFonts w:eastAsia="Times New Roman"/>
                <w:color w:val="000000"/>
                <w:lang w:eastAsia="en-GB"/>
              </w:rPr>
              <w:t>e)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E2F3"/>
            <w:vAlign w:val="center"/>
            <w:hideMark/>
          </w:tcPr>
          <w:p w14:paraId="11627D2C" w14:textId="77777777" w:rsidR="0098140B" w:rsidRPr="0098140B" w:rsidRDefault="0098140B" w:rsidP="00902319">
            <w:pPr>
              <w:rPr>
                <w:rFonts w:eastAsia="Times New Roman"/>
                <w:color w:val="000000"/>
                <w:lang w:eastAsia="en-GB"/>
              </w:rPr>
            </w:pPr>
            <w:r w:rsidRPr="0098140B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A68CDDE" w14:textId="77777777" w:rsidR="0098140B" w:rsidRPr="0098140B" w:rsidRDefault="0098140B" w:rsidP="00902319">
            <w:pPr>
              <w:rPr>
                <w:rFonts w:eastAsia="Times New Roman"/>
                <w:color w:val="000000"/>
                <w:lang w:eastAsia="en-GB"/>
              </w:rPr>
            </w:pPr>
            <w:r w:rsidRPr="0098140B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1AE6710" w14:textId="77777777" w:rsidR="0098140B" w:rsidRPr="0098140B" w:rsidRDefault="0098140B" w:rsidP="00902319">
            <w:pPr>
              <w:rPr>
                <w:rFonts w:eastAsia="Times New Roman"/>
                <w:color w:val="000000"/>
                <w:lang w:eastAsia="en-GB"/>
              </w:rPr>
            </w:pPr>
            <w:r w:rsidRPr="0098140B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E2F3"/>
            <w:vAlign w:val="center"/>
            <w:hideMark/>
          </w:tcPr>
          <w:p w14:paraId="4AB4C3A9" w14:textId="77777777" w:rsidR="0098140B" w:rsidRPr="0098140B" w:rsidRDefault="0098140B" w:rsidP="00902319">
            <w:pPr>
              <w:rPr>
                <w:rFonts w:eastAsia="Times New Roman"/>
                <w:color w:val="000000"/>
                <w:lang w:eastAsia="en-GB"/>
              </w:rPr>
            </w:pPr>
            <w:r w:rsidRPr="0098140B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3C2F733" w14:textId="77777777" w:rsidR="0098140B" w:rsidRPr="0098140B" w:rsidRDefault="0098140B" w:rsidP="00902319">
            <w:pPr>
              <w:rPr>
                <w:rFonts w:eastAsia="Times New Roman"/>
                <w:color w:val="000000"/>
                <w:lang w:eastAsia="en-GB"/>
              </w:rPr>
            </w:pPr>
            <w:r w:rsidRPr="0098140B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98140B" w:rsidRPr="0098140B" w14:paraId="14FADD57" w14:textId="77777777" w:rsidTr="00902319">
        <w:trPr>
          <w:trHeight w:val="12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3302" w14:textId="49927FAB" w:rsidR="0098140B" w:rsidRPr="0098140B" w:rsidRDefault="0098140B" w:rsidP="00902319">
            <w:pPr>
              <w:rPr>
                <w:rFonts w:eastAsia="Times New Roman"/>
                <w:color w:val="000000"/>
                <w:lang w:eastAsia="en-GB"/>
              </w:rPr>
            </w:pPr>
            <w:r w:rsidRPr="0098140B">
              <w:rPr>
                <w:rFonts w:eastAsia="Times New Roman"/>
                <w:color w:val="000000"/>
                <w:lang w:eastAsia="en-GB"/>
              </w:rPr>
              <w:t>Total annual indirect CO</w:t>
            </w:r>
            <w:r w:rsidRPr="0098140B">
              <w:rPr>
                <w:rFonts w:eastAsia="Times New Roman"/>
                <w:color w:val="000000"/>
                <w:vertAlign w:val="subscript"/>
                <w:lang w:eastAsia="en-GB"/>
              </w:rPr>
              <w:t>2</w:t>
            </w:r>
            <w:r w:rsidRPr="0098140B">
              <w:rPr>
                <w:rFonts w:eastAsia="Times New Roman"/>
                <w:color w:val="000000"/>
                <w:lang w:eastAsia="en-GB"/>
              </w:rPr>
              <w:t xml:space="preserve">e emissions from combustion of fuel (all other sources, </w:t>
            </w:r>
            <w:proofErr w:type="gramStart"/>
            <w:r w:rsidRPr="0098140B">
              <w:rPr>
                <w:rFonts w:eastAsia="Times New Roman"/>
                <w:color w:val="000000"/>
                <w:lang w:eastAsia="en-GB"/>
              </w:rPr>
              <w:t>e.g.</w:t>
            </w:r>
            <w:proofErr w:type="gramEnd"/>
            <w:r w:rsidRPr="0098140B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D23840">
              <w:rPr>
                <w:rFonts w:eastAsia="Times New Roman"/>
                <w:color w:val="000000"/>
                <w:lang w:eastAsia="en-GB"/>
              </w:rPr>
              <w:t>heat network) per fuel type</w:t>
            </w:r>
            <w:r w:rsidR="004B2F08" w:rsidRPr="00D23840">
              <w:rPr>
                <w:rFonts w:eastAsia="Times New Roman"/>
                <w:color w:val="000000"/>
                <w:lang w:eastAsia="en-GB"/>
              </w:rPr>
              <w:t xml:space="preserve"> (tCO</w:t>
            </w:r>
            <w:r w:rsidR="004B2F08" w:rsidRPr="00D23840">
              <w:rPr>
                <w:rFonts w:eastAsia="Times New Roman"/>
                <w:color w:val="000000"/>
                <w:vertAlign w:val="subscript"/>
                <w:lang w:eastAsia="en-GB"/>
              </w:rPr>
              <w:t>2</w:t>
            </w:r>
            <w:r w:rsidR="004B2F08" w:rsidRPr="00D23840">
              <w:rPr>
                <w:rFonts w:eastAsia="Times New Roman"/>
                <w:color w:val="000000"/>
                <w:lang w:eastAsia="en-GB"/>
              </w:rPr>
              <w:t>e)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3E0AD7E" w14:textId="77777777" w:rsidR="0098140B" w:rsidRPr="0098140B" w:rsidRDefault="0098140B" w:rsidP="00902319">
            <w:pPr>
              <w:rPr>
                <w:rFonts w:eastAsia="Times New Roman"/>
                <w:color w:val="000000"/>
                <w:lang w:eastAsia="en-GB"/>
              </w:rPr>
            </w:pPr>
            <w:r w:rsidRPr="0098140B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E2F3"/>
            <w:vAlign w:val="center"/>
            <w:hideMark/>
          </w:tcPr>
          <w:p w14:paraId="7D6C8579" w14:textId="77777777" w:rsidR="0098140B" w:rsidRPr="0098140B" w:rsidRDefault="0098140B" w:rsidP="00902319">
            <w:pPr>
              <w:rPr>
                <w:rFonts w:eastAsia="Times New Roman"/>
                <w:color w:val="000000"/>
                <w:lang w:eastAsia="en-GB"/>
              </w:rPr>
            </w:pPr>
            <w:r w:rsidRPr="0098140B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E2F3"/>
            <w:vAlign w:val="center"/>
            <w:hideMark/>
          </w:tcPr>
          <w:p w14:paraId="474976D5" w14:textId="77777777" w:rsidR="0098140B" w:rsidRPr="0098140B" w:rsidRDefault="0098140B" w:rsidP="00902319">
            <w:pPr>
              <w:rPr>
                <w:rFonts w:eastAsia="Times New Roman"/>
                <w:color w:val="000000"/>
                <w:lang w:eastAsia="en-GB"/>
              </w:rPr>
            </w:pPr>
            <w:r w:rsidRPr="0098140B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860973A" w14:textId="77777777" w:rsidR="0098140B" w:rsidRPr="0098140B" w:rsidRDefault="0098140B" w:rsidP="00902319">
            <w:pPr>
              <w:rPr>
                <w:rFonts w:eastAsia="Times New Roman"/>
                <w:color w:val="000000"/>
                <w:lang w:eastAsia="en-GB"/>
              </w:rPr>
            </w:pPr>
            <w:r w:rsidRPr="0098140B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E2F3"/>
            <w:vAlign w:val="center"/>
            <w:hideMark/>
          </w:tcPr>
          <w:p w14:paraId="5C9681B5" w14:textId="77777777" w:rsidR="0098140B" w:rsidRPr="0098140B" w:rsidRDefault="0098140B" w:rsidP="00902319">
            <w:pPr>
              <w:rPr>
                <w:rFonts w:eastAsia="Times New Roman"/>
                <w:color w:val="000000"/>
                <w:lang w:eastAsia="en-GB"/>
              </w:rPr>
            </w:pPr>
            <w:r w:rsidRPr="0098140B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98140B" w:rsidRPr="0098140B" w14:paraId="54B62F31" w14:textId="77777777" w:rsidTr="00902319">
        <w:trPr>
          <w:trHeight w:val="6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0B40" w14:textId="6D9B8DE0" w:rsidR="0098140B" w:rsidRPr="00D23840" w:rsidRDefault="0098140B" w:rsidP="00902319">
            <w:pPr>
              <w:rPr>
                <w:rFonts w:eastAsia="Times New Roman"/>
                <w:color w:val="000000"/>
                <w:lang w:eastAsia="en-GB"/>
              </w:rPr>
            </w:pPr>
            <w:r w:rsidRPr="00D23840">
              <w:rPr>
                <w:rFonts w:eastAsia="Times New Roman"/>
                <w:color w:val="000000"/>
                <w:lang w:eastAsia="en-GB"/>
              </w:rPr>
              <w:t>Total annual CO</w:t>
            </w:r>
            <w:r w:rsidRPr="00D23840">
              <w:rPr>
                <w:rFonts w:eastAsia="Times New Roman"/>
                <w:color w:val="000000"/>
                <w:vertAlign w:val="subscript"/>
                <w:lang w:eastAsia="en-GB"/>
              </w:rPr>
              <w:t>2</w:t>
            </w:r>
            <w:r w:rsidRPr="00D23840">
              <w:rPr>
                <w:rFonts w:eastAsia="Times New Roman"/>
                <w:color w:val="000000"/>
                <w:lang w:eastAsia="en-GB"/>
              </w:rPr>
              <w:t>e for Scope 1 + 2 emissions</w:t>
            </w:r>
            <w:r w:rsidR="00D23840" w:rsidRPr="00D23840">
              <w:rPr>
                <w:rFonts w:eastAsia="Times New Roman"/>
                <w:color w:val="000000"/>
                <w:lang w:eastAsia="en-GB"/>
              </w:rPr>
              <w:t xml:space="preserve"> (tCO</w:t>
            </w:r>
            <w:r w:rsidR="00D23840" w:rsidRPr="00D23840">
              <w:rPr>
                <w:rFonts w:eastAsia="Times New Roman"/>
                <w:color w:val="000000"/>
                <w:vertAlign w:val="subscript"/>
                <w:lang w:eastAsia="en-GB"/>
              </w:rPr>
              <w:t>2</w:t>
            </w:r>
            <w:r w:rsidR="00D23840" w:rsidRPr="00D23840">
              <w:rPr>
                <w:rFonts w:eastAsia="Times New Roman"/>
                <w:color w:val="000000"/>
                <w:lang w:eastAsia="en-GB"/>
              </w:rPr>
              <w:t>e)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2F3"/>
            <w:vAlign w:val="center"/>
            <w:hideMark/>
          </w:tcPr>
          <w:p w14:paraId="575E7C60" w14:textId="77777777" w:rsidR="0098140B" w:rsidRPr="0098140B" w:rsidRDefault="0098140B" w:rsidP="00902319">
            <w:pPr>
              <w:rPr>
                <w:rFonts w:eastAsia="Times New Roman"/>
                <w:color w:val="000000"/>
                <w:lang w:eastAsia="en-GB"/>
              </w:rPr>
            </w:pPr>
            <w:r w:rsidRPr="0098140B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2F3"/>
            <w:vAlign w:val="center"/>
            <w:hideMark/>
          </w:tcPr>
          <w:p w14:paraId="5ED65EE4" w14:textId="77777777" w:rsidR="0098140B" w:rsidRPr="0098140B" w:rsidRDefault="0098140B" w:rsidP="00902319">
            <w:pPr>
              <w:rPr>
                <w:rFonts w:eastAsia="Times New Roman"/>
                <w:color w:val="000000"/>
                <w:lang w:eastAsia="en-GB"/>
              </w:rPr>
            </w:pPr>
            <w:r w:rsidRPr="0098140B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2F3"/>
            <w:vAlign w:val="center"/>
            <w:hideMark/>
          </w:tcPr>
          <w:p w14:paraId="61033FDF" w14:textId="77777777" w:rsidR="0098140B" w:rsidRPr="0098140B" w:rsidRDefault="0098140B" w:rsidP="00902319">
            <w:pPr>
              <w:rPr>
                <w:rFonts w:eastAsia="Times New Roman"/>
                <w:color w:val="000000"/>
                <w:lang w:eastAsia="en-GB"/>
              </w:rPr>
            </w:pPr>
            <w:r w:rsidRPr="0098140B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CF4D4D" w:rsidRPr="0098140B" w14:paraId="0041133C" w14:textId="77777777" w:rsidTr="00CF4D4D">
        <w:trPr>
          <w:trHeight w:val="600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887E3F6" w14:textId="174F23AC" w:rsidR="00CF4D4D" w:rsidRPr="00902319" w:rsidRDefault="00CF4D4D" w:rsidP="00CF4D4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902319">
              <w:rPr>
                <w:rFonts w:eastAsia="Times New Roman"/>
                <w:b/>
                <w:bCs/>
                <w:color w:val="000000"/>
                <w:lang w:eastAsia="en-GB"/>
              </w:rPr>
              <w:t>For net calculations:</w:t>
            </w:r>
          </w:p>
        </w:tc>
      </w:tr>
      <w:tr w:rsidR="00CF4D4D" w:rsidRPr="0098140B" w14:paraId="54E0EF23" w14:textId="77777777" w:rsidTr="00902319">
        <w:trPr>
          <w:trHeight w:val="60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AD48" w14:textId="5C2278B1" w:rsidR="00CF4D4D" w:rsidRPr="0098140B" w:rsidRDefault="002D7BA1" w:rsidP="00902319">
            <w:pPr>
              <w:rPr>
                <w:rFonts w:eastAsia="Times New Roman"/>
                <w:color w:val="000000"/>
                <w:lang w:eastAsia="en-GB"/>
              </w:rPr>
            </w:pPr>
            <w:r w:rsidRPr="002D7BA1">
              <w:rPr>
                <w:rFonts w:eastAsia="Times New Roman"/>
                <w:color w:val="000000"/>
                <w:lang w:eastAsia="en-GB"/>
              </w:rPr>
              <w:t xml:space="preserve">Total annual displaced </w:t>
            </w:r>
            <w:r w:rsidRPr="0098140B">
              <w:rPr>
                <w:rFonts w:eastAsia="Times New Roman"/>
                <w:color w:val="000000"/>
                <w:lang w:eastAsia="en-GB"/>
              </w:rPr>
              <w:t>CO</w:t>
            </w:r>
            <w:r w:rsidRPr="0098140B">
              <w:rPr>
                <w:rFonts w:eastAsia="Times New Roman"/>
                <w:color w:val="000000"/>
                <w:vertAlign w:val="subscript"/>
                <w:lang w:eastAsia="en-GB"/>
              </w:rPr>
              <w:t>2</w:t>
            </w:r>
            <w:r w:rsidRPr="0098140B">
              <w:rPr>
                <w:rFonts w:eastAsia="Times New Roman"/>
                <w:color w:val="000000"/>
                <w:lang w:eastAsia="en-GB"/>
              </w:rPr>
              <w:t xml:space="preserve">e </w:t>
            </w:r>
            <w:r w:rsidRPr="002D7BA1">
              <w:rPr>
                <w:rFonts w:eastAsia="Times New Roman"/>
                <w:color w:val="000000"/>
                <w:lang w:eastAsia="en-GB"/>
              </w:rPr>
              <w:t>emissions from electricity exported by on-site renewable energy sources minus storage losses</w:t>
            </w:r>
            <w:r w:rsidRPr="00F60A56">
              <w:rPr>
                <w:rFonts w:eastAsia="Times New Roman"/>
                <w:color w:val="000000"/>
                <w:lang w:eastAsia="en-GB"/>
              </w:rPr>
              <w:tab/>
            </w:r>
            <w:r w:rsidR="00F60A56" w:rsidRPr="00F60A56">
              <w:rPr>
                <w:rFonts w:eastAsia="Times New Roman"/>
                <w:color w:val="000000"/>
                <w:lang w:eastAsia="en-GB"/>
              </w:rPr>
              <w:t>(tCO</w:t>
            </w:r>
            <w:r w:rsidR="00F60A56" w:rsidRPr="00F60A56">
              <w:rPr>
                <w:rFonts w:eastAsia="Times New Roman"/>
                <w:color w:val="000000"/>
                <w:vertAlign w:val="subscript"/>
                <w:lang w:eastAsia="en-GB"/>
              </w:rPr>
              <w:t>2</w:t>
            </w:r>
            <w:r w:rsidR="00F60A56" w:rsidRPr="00F60A56">
              <w:rPr>
                <w:rFonts w:eastAsia="Times New Roman"/>
                <w:color w:val="000000"/>
                <w:lang w:eastAsia="en-GB"/>
              </w:rPr>
              <w:t>e)</w:t>
            </w:r>
            <w:r w:rsidRPr="00F60A56">
              <w:rPr>
                <w:rFonts w:eastAsia="Times New Roman"/>
                <w:color w:val="000000"/>
                <w:lang w:eastAsia="en-GB"/>
              </w:rPr>
              <w:tab/>
            </w:r>
            <w:r w:rsidR="00F60A56">
              <w:rPr>
                <w:rFonts w:eastAsia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2F3"/>
            <w:vAlign w:val="center"/>
          </w:tcPr>
          <w:p w14:paraId="1B819294" w14:textId="77777777" w:rsidR="00CF4D4D" w:rsidRPr="0098140B" w:rsidRDefault="00CF4D4D" w:rsidP="00902319">
            <w:pPr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CF4D4D" w:rsidRPr="0098140B" w14:paraId="3AB3F490" w14:textId="77777777" w:rsidTr="00902319">
        <w:trPr>
          <w:trHeight w:val="60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BB92" w14:textId="1B970A2A" w:rsidR="00CF4D4D" w:rsidRPr="0098140B" w:rsidRDefault="002D7BA1" w:rsidP="00902319">
            <w:pPr>
              <w:rPr>
                <w:rFonts w:eastAsia="Times New Roman"/>
                <w:color w:val="000000"/>
                <w:lang w:eastAsia="en-GB"/>
              </w:rPr>
            </w:pPr>
            <w:r w:rsidRPr="002D7BA1">
              <w:rPr>
                <w:rFonts w:eastAsia="Times New Roman"/>
                <w:color w:val="000000"/>
                <w:lang w:eastAsia="en-GB"/>
              </w:rPr>
              <w:t xml:space="preserve">Total annual displaced </w:t>
            </w:r>
            <w:r w:rsidRPr="0098140B">
              <w:rPr>
                <w:rFonts w:eastAsia="Times New Roman"/>
                <w:color w:val="000000"/>
                <w:lang w:eastAsia="en-GB"/>
              </w:rPr>
              <w:t>CO</w:t>
            </w:r>
            <w:r w:rsidRPr="0098140B">
              <w:rPr>
                <w:rFonts w:eastAsia="Times New Roman"/>
                <w:color w:val="000000"/>
                <w:vertAlign w:val="subscript"/>
                <w:lang w:eastAsia="en-GB"/>
              </w:rPr>
              <w:t>2</w:t>
            </w:r>
            <w:r w:rsidRPr="0098140B">
              <w:rPr>
                <w:rFonts w:eastAsia="Times New Roman"/>
                <w:color w:val="000000"/>
                <w:lang w:eastAsia="en-GB"/>
              </w:rPr>
              <w:t xml:space="preserve">e </w:t>
            </w:r>
            <w:r w:rsidRPr="002D7BA1">
              <w:rPr>
                <w:rFonts w:eastAsia="Times New Roman"/>
                <w:color w:val="000000"/>
                <w:lang w:eastAsia="en-GB"/>
              </w:rPr>
              <w:t>emissions from international carbon offsets</w:t>
            </w:r>
            <w:r w:rsidR="00F60A56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="00F60A56" w:rsidRPr="00F60A56">
              <w:rPr>
                <w:rFonts w:eastAsia="Times New Roman"/>
                <w:color w:val="000000"/>
                <w:lang w:eastAsia="en-GB"/>
              </w:rPr>
              <w:t>(tCO</w:t>
            </w:r>
            <w:r w:rsidR="00F60A56" w:rsidRPr="00F60A56">
              <w:rPr>
                <w:rFonts w:eastAsia="Times New Roman"/>
                <w:color w:val="000000"/>
                <w:vertAlign w:val="subscript"/>
                <w:lang w:eastAsia="en-GB"/>
              </w:rPr>
              <w:t>2</w:t>
            </w:r>
            <w:r w:rsidR="00F60A56" w:rsidRPr="00F60A56">
              <w:rPr>
                <w:rFonts w:eastAsia="Times New Roman"/>
                <w:color w:val="000000"/>
                <w:lang w:eastAsia="en-GB"/>
              </w:rPr>
              <w:t>e)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2F3"/>
            <w:vAlign w:val="center"/>
          </w:tcPr>
          <w:p w14:paraId="536A93C6" w14:textId="77777777" w:rsidR="00CF4D4D" w:rsidRPr="0098140B" w:rsidRDefault="00CF4D4D" w:rsidP="00902319">
            <w:pPr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CF4D4D" w:rsidRPr="0098140B" w14:paraId="5B0FFA4F" w14:textId="77777777" w:rsidTr="00902319">
        <w:trPr>
          <w:trHeight w:val="60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A492" w14:textId="1A578F8D" w:rsidR="00CF4D4D" w:rsidRPr="0098140B" w:rsidRDefault="002D7BA1" w:rsidP="00902319">
            <w:pPr>
              <w:rPr>
                <w:rFonts w:eastAsia="Times New Roman"/>
                <w:color w:val="000000"/>
                <w:lang w:eastAsia="en-GB"/>
              </w:rPr>
            </w:pPr>
            <w:r w:rsidRPr="002D7BA1">
              <w:rPr>
                <w:rFonts w:eastAsia="Times New Roman"/>
                <w:color w:val="000000"/>
                <w:lang w:eastAsia="en-GB"/>
              </w:rPr>
              <w:t xml:space="preserve">Total annual displaced </w:t>
            </w:r>
            <w:r w:rsidRPr="0098140B">
              <w:rPr>
                <w:rFonts w:eastAsia="Times New Roman"/>
                <w:color w:val="000000"/>
                <w:lang w:eastAsia="en-GB"/>
              </w:rPr>
              <w:t>CO</w:t>
            </w:r>
            <w:r w:rsidRPr="0098140B">
              <w:rPr>
                <w:rFonts w:eastAsia="Times New Roman"/>
                <w:color w:val="000000"/>
                <w:vertAlign w:val="subscript"/>
                <w:lang w:eastAsia="en-GB"/>
              </w:rPr>
              <w:t>2</w:t>
            </w:r>
            <w:r w:rsidRPr="0098140B">
              <w:rPr>
                <w:rFonts w:eastAsia="Times New Roman"/>
                <w:color w:val="000000"/>
                <w:lang w:eastAsia="en-GB"/>
              </w:rPr>
              <w:t xml:space="preserve">e </w:t>
            </w:r>
            <w:r w:rsidRPr="002D7BA1">
              <w:rPr>
                <w:rFonts w:eastAsia="Times New Roman"/>
                <w:color w:val="000000"/>
                <w:lang w:eastAsia="en-GB"/>
              </w:rPr>
              <w:t>emissions from domestic carbon units</w:t>
            </w:r>
            <w:r w:rsidR="00F60A56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="00F60A56" w:rsidRPr="00F60A56">
              <w:rPr>
                <w:rFonts w:eastAsia="Times New Roman"/>
                <w:color w:val="000000"/>
                <w:lang w:eastAsia="en-GB"/>
              </w:rPr>
              <w:t>(tCO</w:t>
            </w:r>
            <w:r w:rsidR="00F60A56" w:rsidRPr="00F60A56">
              <w:rPr>
                <w:rFonts w:eastAsia="Times New Roman"/>
                <w:color w:val="000000"/>
                <w:vertAlign w:val="subscript"/>
                <w:lang w:eastAsia="en-GB"/>
              </w:rPr>
              <w:t>2</w:t>
            </w:r>
            <w:r w:rsidR="00F60A56" w:rsidRPr="00F60A56">
              <w:rPr>
                <w:rFonts w:eastAsia="Times New Roman"/>
                <w:color w:val="000000"/>
                <w:lang w:eastAsia="en-GB"/>
              </w:rPr>
              <w:t>e)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2F3"/>
            <w:vAlign w:val="center"/>
          </w:tcPr>
          <w:p w14:paraId="3A333F4B" w14:textId="77777777" w:rsidR="00CF4D4D" w:rsidRPr="0098140B" w:rsidRDefault="00CF4D4D" w:rsidP="00902319">
            <w:pPr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2D7BA1" w:rsidRPr="0098140B" w14:paraId="425FD593" w14:textId="77777777" w:rsidTr="00902319">
        <w:trPr>
          <w:trHeight w:val="60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4130" w14:textId="034CAC66" w:rsidR="002D7BA1" w:rsidRPr="002D7BA1" w:rsidRDefault="00493888" w:rsidP="00902319">
            <w:pPr>
              <w:rPr>
                <w:rFonts w:eastAsia="Times New Roman"/>
                <w:color w:val="000000"/>
                <w:lang w:eastAsia="en-GB"/>
              </w:rPr>
            </w:pPr>
            <w:r w:rsidRPr="00493888">
              <w:rPr>
                <w:rFonts w:eastAsia="Times New Roman"/>
                <w:color w:val="000000"/>
                <w:lang w:eastAsia="en-GB"/>
              </w:rPr>
              <w:t xml:space="preserve">Total annual net </w:t>
            </w:r>
            <w:r w:rsidRPr="0098140B">
              <w:rPr>
                <w:rFonts w:eastAsia="Times New Roman"/>
                <w:color w:val="000000"/>
                <w:lang w:eastAsia="en-GB"/>
              </w:rPr>
              <w:t>CO</w:t>
            </w:r>
            <w:r w:rsidRPr="0098140B">
              <w:rPr>
                <w:rFonts w:eastAsia="Times New Roman"/>
                <w:color w:val="000000"/>
                <w:vertAlign w:val="subscript"/>
                <w:lang w:eastAsia="en-GB"/>
              </w:rPr>
              <w:t>2</w:t>
            </w:r>
            <w:r w:rsidRPr="0098140B">
              <w:rPr>
                <w:rFonts w:eastAsia="Times New Roman"/>
                <w:color w:val="000000"/>
                <w:lang w:eastAsia="en-GB"/>
              </w:rPr>
              <w:t xml:space="preserve">e </w:t>
            </w:r>
            <w:r w:rsidRPr="00493888">
              <w:rPr>
                <w:rFonts w:eastAsia="Times New Roman"/>
                <w:color w:val="000000"/>
                <w:lang w:eastAsia="en-GB"/>
              </w:rPr>
              <w:t>emissions</w:t>
            </w:r>
            <w:r w:rsidR="00F60A56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="00F60A56" w:rsidRPr="00F60A56">
              <w:rPr>
                <w:rFonts w:eastAsia="Times New Roman"/>
                <w:color w:val="000000"/>
                <w:lang w:eastAsia="en-GB"/>
              </w:rPr>
              <w:t>(tCO</w:t>
            </w:r>
            <w:r w:rsidR="00F60A56" w:rsidRPr="00F60A56">
              <w:rPr>
                <w:rFonts w:eastAsia="Times New Roman"/>
                <w:color w:val="000000"/>
                <w:vertAlign w:val="subscript"/>
                <w:lang w:eastAsia="en-GB"/>
              </w:rPr>
              <w:t>2</w:t>
            </w:r>
            <w:r w:rsidR="00F60A56" w:rsidRPr="00F60A56">
              <w:rPr>
                <w:rFonts w:eastAsia="Times New Roman"/>
                <w:color w:val="000000"/>
                <w:lang w:eastAsia="en-GB"/>
              </w:rPr>
              <w:t>e)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2F3"/>
            <w:vAlign w:val="center"/>
          </w:tcPr>
          <w:p w14:paraId="145CACDA" w14:textId="51A7CDFB" w:rsidR="002D7BA1" w:rsidRPr="00493888" w:rsidRDefault="00493888" w:rsidP="00902319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493888">
              <w:rPr>
                <w:rFonts w:eastAsia="Times New Roman"/>
                <w:b/>
                <w:bCs/>
                <w:color w:val="000000"/>
                <w:lang w:eastAsia="en-GB"/>
              </w:rPr>
              <w:t>0 (only when verified)</w:t>
            </w:r>
          </w:p>
        </w:tc>
      </w:tr>
    </w:tbl>
    <w:p w14:paraId="486E9AAF" w14:textId="77777777" w:rsidR="0098140B" w:rsidRDefault="0098140B"/>
    <w:p w14:paraId="4D0CCC0E" w14:textId="7EFD1358" w:rsidR="0098140B" w:rsidRDefault="0098140B"/>
    <w:p w14:paraId="4DDC0424" w14:textId="77777777" w:rsidR="0098140B" w:rsidRDefault="0098140B"/>
    <w:p w14:paraId="236A93BC" w14:textId="77777777" w:rsidR="009B55BB" w:rsidRDefault="009B55BB"/>
    <w:p w14:paraId="3842DE35" w14:textId="77777777" w:rsidR="009B55BB" w:rsidRDefault="009B55BB"/>
    <w:p w14:paraId="35C744A4" w14:textId="77777777" w:rsidR="009B55BB" w:rsidRDefault="009B55BB"/>
    <w:p w14:paraId="152D7E58" w14:textId="77777777" w:rsidR="009B55BB" w:rsidRDefault="009B55BB"/>
    <w:p w14:paraId="05317DDD" w14:textId="77777777" w:rsidR="009B55BB" w:rsidRDefault="009B55BB"/>
    <w:p w14:paraId="28F61122" w14:textId="77777777" w:rsidR="009B55BB" w:rsidRDefault="009B55BB"/>
    <w:p w14:paraId="1A994B41" w14:textId="77777777" w:rsidR="009B55BB" w:rsidRDefault="009B55BB"/>
    <w:p w14:paraId="6ECAD946" w14:textId="77777777" w:rsidR="003323DC" w:rsidRDefault="003323DC"/>
    <w:p w14:paraId="166FBA1F" w14:textId="77777777" w:rsidR="003323DC" w:rsidRDefault="003323DC"/>
    <w:p w14:paraId="00000315" w14:textId="77777777" w:rsidR="00682BA5" w:rsidRDefault="00682BA5"/>
    <w:p w14:paraId="00000317" w14:textId="7B14CC47" w:rsidR="00682BA5" w:rsidRPr="00E2785B" w:rsidRDefault="00E771CD" w:rsidP="00B62E36">
      <w:pPr>
        <w:pStyle w:val="Heading2"/>
        <w:spacing w:after="120"/>
      </w:pPr>
      <w:r w:rsidRPr="00E2785B">
        <w:lastRenderedPageBreak/>
        <w:t>Offsets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3740"/>
        <w:gridCol w:w="5990"/>
      </w:tblGrid>
      <w:tr w:rsidR="00E2785B" w:rsidRPr="00E2785B" w14:paraId="1AB9C6EA" w14:textId="77777777" w:rsidTr="00597190">
        <w:tc>
          <w:tcPr>
            <w:tcW w:w="1922" w:type="pct"/>
          </w:tcPr>
          <w:p w14:paraId="0FC26823" w14:textId="265948EB" w:rsidR="00597190" w:rsidRPr="00E2785B" w:rsidRDefault="00597190">
            <w:pPr>
              <w:rPr>
                <w:color w:val="000000" w:themeColor="text1"/>
              </w:rPr>
            </w:pPr>
            <w:r w:rsidRPr="00E2785B">
              <w:rPr>
                <w:color w:val="000000" w:themeColor="text1"/>
              </w:rPr>
              <w:t>Carbon offset approach used</w:t>
            </w:r>
          </w:p>
        </w:tc>
        <w:tc>
          <w:tcPr>
            <w:tcW w:w="3078" w:type="pct"/>
            <w:shd w:val="clear" w:color="auto" w:fill="CFE2F3"/>
          </w:tcPr>
          <w:p w14:paraId="3021C61B" w14:textId="00E489C3" w:rsidR="00597190" w:rsidRPr="00E2785B" w:rsidRDefault="00597190">
            <w:pPr>
              <w:rPr>
                <w:color w:val="000000" w:themeColor="text1"/>
              </w:rPr>
            </w:pPr>
            <w:r w:rsidRPr="00E2785B">
              <w:rPr>
                <w:color w:val="000000" w:themeColor="text1"/>
              </w:rPr>
              <w:t xml:space="preserve">Minimum / </w:t>
            </w:r>
            <w:r w:rsidR="00CD64DD" w:rsidRPr="00E2785B">
              <w:rPr>
                <w:color w:val="000000" w:themeColor="text1"/>
              </w:rPr>
              <w:t xml:space="preserve">Leadership: </w:t>
            </w:r>
            <w:r w:rsidR="003051E9" w:rsidRPr="00E2785B">
              <w:rPr>
                <w:color w:val="000000" w:themeColor="text1"/>
              </w:rPr>
              <w:t>Transition Fund</w:t>
            </w:r>
          </w:p>
        </w:tc>
      </w:tr>
      <w:tr w:rsidR="00E2785B" w:rsidRPr="00E2785B" w14:paraId="32DB5BC9" w14:textId="77777777" w:rsidTr="00597190">
        <w:tc>
          <w:tcPr>
            <w:tcW w:w="1922" w:type="pct"/>
          </w:tcPr>
          <w:p w14:paraId="64B51587" w14:textId="45C0F73C" w:rsidR="00597190" w:rsidRPr="00E2785B" w:rsidRDefault="00597190">
            <w:pPr>
              <w:rPr>
                <w:color w:val="000000" w:themeColor="text1"/>
              </w:rPr>
            </w:pPr>
            <w:r w:rsidRPr="00E2785B">
              <w:rPr>
                <w:color w:val="000000" w:themeColor="text1"/>
              </w:rPr>
              <w:t>International carbon offset standard used, amount and type of offset credit procured</w:t>
            </w:r>
          </w:p>
          <w:p w14:paraId="4FC1EF47" w14:textId="77777777" w:rsidR="00597190" w:rsidRPr="00E2785B" w:rsidRDefault="00597190">
            <w:pPr>
              <w:rPr>
                <w:color w:val="000000" w:themeColor="text1"/>
              </w:rPr>
            </w:pPr>
          </w:p>
          <w:p w14:paraId="1EAEC722" w14:textId="3431143B" w:rsidR="00597190" w:rsidRPr="00E2785B" w:rsidRDefault="00597190">
            <w:pPr>
              <w:rPr>
                <w:color w:val="000000" w:themeColor="text1"/>
              </w:rPr>
            </w:pPr>
            <w:r w:rsidRPr="00E2785B">
              <w:rPr>
                <w:color w:val="000000" w:themeColor="text1"/>
              </w:rPr>
              <w:t>Registry link</w:t>
            </w:r>
          </w:p>
        </w:tc>
        <w:tc>
          <w:tcPr>
            <w:tcW w:w="3078" w:type="pct"/>
            <w:shd w:val="clear" w:color="auto" w:fill="CFE2F3"/>
          </w:tcPr>
          <w:p w14:paraId="321A37CC" w14:textId="290F5025" w:rsidR="00597190" w:rsidRPr="00E2785B" w:rsidRDefault="00597190">
            <w:pPr>
              <w:rPr>
                <w:color w:val="000000" w:themeColor="text1"/>
              </w:rPr>
            </w:pPr>
          </w:p>
        </w:tc>
      </w:tr>
      <w:tr w:rsidR="00E2785B" w:rsidRPr="00E2785B" w14:paraId="555AD20C" w14:textId="77777777" w:rsidTr="00597190">
        <w:tc>
          <w:tcPr>
            <w:tcW w:w="1922" w:type="pct"/>
          </w:tcPr>
          <w:p w14:paraId="3D4551F4" w14:textId="77777777" w:rsidR="00682BA5" w:rsidRPr="00E2785B" w:rsidRDefault="00597190">
            <w:pPr>
              <w:rPr>
                <w:color w:val="000000" w:themeColor="text1"/>
              </w:rPr>
            </w:pPr>
            <w:r w:rsidRPr="00E2785B">
              <w:rPr>
                <w:color w:val="000000" w:themeColor="text1"/>
              </w:rPr>
              <w:t>Domestic carbon unit standard used, amount and type of offset unit procured</w:t>
            </w:r>
          </w:p>
          <w:p w14:paraId="09E89146" w14:textId="77777777" w:rsidR="00597190" w:rsidRPr="00E2785B" w:rsidRDefault="00597190">
            <w:pPr>
              <w:rPr>
                <w:color w:val="000000" w:themeColor="text1"/>
              </w:rPr>
            </w:pPr>
          </w:p>
          <w:p w14:paraId="00000318" w14:textId="100A53E6" w:rsidR="00597190" w:rsidRPr="00E2785B" w:rsidRDefault="00597190">
            <w:pPr>
              <w:rPr>
                <w:color w:val="000000" w:themeColor="text1"/>
              </w:rPr>
            </w:pPr>
            <w:r w:rsidRPr="00E2785B">
              <w:rPr>
                <w:color w:val="000000" w:themeColor="text1"/>
              </w:rPr>
              <w:t>Registry link</w:t>
            </w:r>
          </w:p>
        </w:tc>
        <w:tc>
          <w:tcPr>
            <w:tcW w:w="3078" w:type="pct"/>
            <w:shd w:val="clear" w:color="auto" w:fill="CFE2F3"/>
          </w:tcPr>
          <w:p w14:paraId="00000319" w14:textId="77777777" w:rsidR="00682BA5" w:rsidRPr="00E2785B" w:rsidRDefault="00682BA5">
            <w:pPr>
              <w:rPr>
                <w:color w:val="000000" w:themeColor="text1"/>
              </w:rPr>
            </w:pPr>
          </w:p>
        </w:tc>
      </w:tr>
      <w:tr w:rsidR="00E2785B" w:rsidRPr="00E2785B" w14:paraId="5D019393" w14:textId="77777777" w:rsidTr="00597190">
        <w:tc>
          <w:tcPr>
            <w:tcW w:w="1922" w:type="pct"/>
          </w:tcPr>
          <w:p w14:paraId="0000031C" w14:textId="0E2F39D4" w:rsidR="00682BA5" w:rsidRPr="00E2785B" w:rsidRDefault="005E590F">
            <w:pPr>
              <w:rPr>
                <w:color w:val="000000" w:themeColor="text1"/>
              </w:rPr>
            </w:pPr>
            <w:r w:rsidRPr="00E2785B">
              <w:rPr>
                <w:color w:val="000000" w:themeColor="text1"/>
              </w:rPr>
              <w:t>Weighted average cost</w:t>
            </w:r>
            <w:r w:rsidR="00E771CD" w:rsidRPr="00E2785B">
              <w:rPr>
                <w:color w:val="000000" w:themeColor="text1"/>
              </w:rPr>
              <w:t xml:space="preserve"> per tonne of CO</w:t>
            </w:r>
            <w:r w:rsidR="00E771CD" w:rsidRPr="00E2785B">
              <w:rPr>
                <w:color w:val="000000" w:themeColor="text1"/>
                <w:vertAlign w:val="subscript"/>
              </w:rPr>
              <w:t>2</w:t>
            </w:r>
            <w:r w:rsidR="00E771CD" w:rsidRPr="00E2785B">
              <w:rPr>
                <w:color w:val="000000" w:themeColor="text1"/>
              </w:rPr>
              <w:t>e</w:t>
            </w:r>
            <w:r w:rsidR="00413C37" w:rsidRPr="00E2785B">
              <w:rPr>
                <w:color w:val="000000" w:themeColor="text1"/>
              </w:rPr>
              <w:t xml:space="preserve"> for carbon credits/units bought</w:t>
            </w:r>
          </w:p>
        </w:tc>
        <w:tc>
          <w:tcPr>
            <w:tcW w:w="3078" w:type="pct"/>
            <w:shd w:val="clear" w:color="auto" w:fill="CFE2F3"/>
          </w:tcPr>
          <w:p w14:paraId="0000031D" w14:textId="77777777" w:rsidR="00682BA5" w:rsidRPr="00E2785B" w:rsidRDefault="00682BA5">
            <w:pPr>
              <w:rPr>
                <w:color w:val="000000" w:themeColor="text1"/>
              </w:rPr>
            </w:pPr>
          </w:p>
        </w:tc>
      </w:tr>
      <w:tr w:rsidR="00413C37" w:rsidRPr="00E2785B" w14:paraId="62005766" w14:textId="77777777" w:rsidTr="00597190">
        <w:tc>
          <w:tcPr>
            <w:tcW w:w="1922" w:type="pct"/>
          </w:tcPr>
          <w:p w14:paraId="725833B6" w14:textId="79B473A5" w:rsidR="00413C37" w:rsidRPr="00E2785B" w:rsidRDefault="00413C37">
            <w:pPr>
              <w:rPr>
                <w:color w:val="000000" w:themeColor="text1"/>
              </w:rPr>
            </w:pPr>
            <w:r w:rsidRPr="00E2785B">
              <w:rPr>
                <w:color w:val="000000" w:themeColor="text1"/>
              </w:rPr>
              <w:t>Transition Fund – carbon price, cost per tonne of CO</w:t>
            </w:r>
            <w:r w:rsidRPr="00E2785B">
              <w:rPr>
                <w:color w:val="000000" w:themeColor="text1"/>
                <w:vertAlign w:val="subscript"/>
              </w:rPr>
              <w:t>2</w:t>
            </w:r>
            <w:r w:rsidRPr="00E2785B">
              <w:rPr>
                <w:color w:val="000000" w:themeColor="text1"/>
              </w:rPr>
              <w:t>e</w:t>
            </w:r>
            <w:r w:rsidR="00716BC7">
              <w:rPr>
                <w:color w:val="000000" w:themeColor="text1"/>
              </w:rPr>
              <w:t xml:space="preserve"> (if applicable)</w:t>
            </w:r>
          </w:p>
        </w:tc>
        <w:tc>
          <w:tcPr>
            <w:tcW w:w="3078" w:type="pct"/>
            <w:shd w:val="clear" w:color="auto" w:fill="CFE2F3"/>
          </w:tcPr>
          <w:p w14:paraId="3CC4B92A" w14:textId="77777777" w:rsidR="00413C37" w:rsidRPr="00E2785B" w:rsidRDefault="00413C37">
            <w:pPr>
              <w:rPr>
                <w:color w:val="000000" w:themeColor="text1"/>
              </w:rPr>
            </w:pPr>
          </w:p>
        </w:tc>
      </w:tr>
    </w:tbl>
    <w:p w14:paraId="0000031E" w14:textId="77777777" w:rsidR="00682BA5" w:rsidRPr="00E2785B" w:rsidRDefault="00682BA5">
      <w:pPr>
        <w:rPr>
          <w:color w:val="000000" w:themeColor="text1"/>
        </w:rPr>
      </w:pPr>
    </w:p>
    <w:p w14:paraId="0000031F" w14:textId="77777777" w:rsidR="00682BA5" w:rsidRPr="00E2785B" w:rsidRDefault="00682BA5">
      <w:pPr>
        <w:rPr>
          <w:color w:val="000000" w:themeColor="text1"/>
        </w:rPr>
      </w:pPr>
    </w:p>
    <w:p w14:paraId="726EC231" w14:textId="65D941C9" w:rsidR="003051E9" w:rsidRPr="00E2785B" w:rsidRDefault="003051E9" w:rsidP="003051E9">
      <w:pPr>
        <w:rPr>
          <w:b/>
          <w:color w:val="D9117B"/>
        </w:rPr>
      </w:pPr>
      <w:r w:rsidRPr="00E2785B">
        <w:rPr>
          <w:b/>
          <w:color w:val="D9117B"/>
        </w:rPr>
        <w:t>Supplementary narrative required:</w:t>
      </w:r>
    </w:p>
    <w:p w14:paraId="1E1CD12E" w14:textId="7A29AA6E" w:rsidR="003051E9" w:rsidRPr="00E2785B" w:rsidRDefault="003051E9" w:rsidP="003051E9">
      <w:pPr>
        <w:pStyle w:val="ListParagraph"/>
        <w:numPr>
          <w:ilvl w:val="0"/>
          <w:numId w:val="33"/>
        </w:numPr>
        <w:rPr>
          <w:bCs/>
          <w:color w:val="000000" w:themeColor="text1"/>
        </w:rPr>
      </w:pPr>
      <w:r w:rsidRPr="00E2785B">
        <w:rPr>
          <w:bCs/>
          <w:color w:val="000000" w:themeColor="text1"/>
        </w:rPr>
        <w:t xml:space="preserve">For Transition Fund approach – narrative on projects / schemes invested in, how it supports a transition to net zero, with evidence of projected or measured carbon savings. If there are any remaining funds, how these will be spent in the upcoming </w:t>
      </w:r>
      <w:r w:rsidR="00D20AB8">
        <w:rPr>
          <w:bCs/>
          <w:color w:val="000000" w:themeColor="text1"/>
        </w:rPr>
        <w:t>three years</w:t>
      </w:r>
      <w:r w:rsidR="001458FC">
        <w:rPr>
          <w:bCs/>
          <w:color w:val="000000" w:themeColor="text1"/>
        </w:rPr>
        <w:t xml:space="preserve"> </w:t>
      </w:r>
      <w:r w:rsidR="00D20AB8">
        <w:rPr>
          <w:bCs/>
          <w:color w:val="000000" w:themeColor="text1"/>
        </w:rPr>
        <w:t>with a rolling fund figure update.</w:t>
      </w:r>
    </w:p>
    <w:p w14:paraId="00000320" w14:textId="77777777" w:rsidR="00682BA5" w:rsidRPr="00E2785B" w:rsidRDefault="00682BA5">
      <w:pPr>
        <w:rPr>
          <w:color w:val="000000" w:themeColor="text1"/>
        </w:rPr>
      </w:pPr>
    </w:p>
    <w:p w14:paraId="00000321" w14:textId="77777777" w:rsidR="00682BA5" w:rsidRDefault="00682BA5">
      <w:pPr>
        <w:rPr>
          <w:b/>
          <w:highlight w:val="yellow"/>
        </w:rPr>
      </w:pPr>
    </w:p>
    <w:sectPr w:rsidR="00682BA5" w:rsidSect="005D0FE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080" w:bottom="1440" w:left="1080" w:header="916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131F2" w14:textId="77777777" w:rsidR="00912560" w:rsidRDefault="00912560">
      <w:r>
        <w:separator/>
      </w:r>
    </w:p>
  </w:endnote>
  <w:endnote w:type="continuationSeparator" w:id="0">
    <w:p w14:paraId="37459E9F" w14:textId="77777777" w:rsidR="00912560" w:rsidRDefault="00912560">
      <w:r>
        <w:continuationSeparator/>
      </w:r>
    </w:p>
  </w:endnote>
  <w:endnote w:type="continuationNotice" w:id="1">
    <w:p w14:paraId="16936B33" w14:textId="77777777" w:rsidR="00912560" w:rsidRDefault="009125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uzeit Gro T OT">
    <w:altName w:val="Calibri"/>
    <w:charset w:val="00"/>
    <w:family w:val="auto"/>
    <w:pitch w:val="variable"/>
    <w:sig w:usb0="800000AF" w:usb1="50002048" w:usb2="00000000" w:usb3="00000000" w:csb0="00000093" w:csb1="00000000"/>
  </w:font>
  <w:font w:name="Avenir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4B" w14:textId="77777777" w:rsidR="00682BA5" w:rsidRDefault="00682B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Neuzeit Gro T OT" w:eastAsia="Neuzeit Gro T OT" w:hAnsi="Neuzeit Gro T OT" w:cs="Neuzeit Gro T OT"/>
        <w:b/>
        <w:color w:val="000000"/>
        <w:sz w:val="20"/>
        <w:szCs w:val="20"/>
      </w:rPr>
    </w:pPr>
  </w:p>
  <w:p w14:paraId="0000034C" w14:textId="77777777" w:rsidR="00682BA5" w:rsidRDefault="00682B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0000034D" w14:textId="77777777" w:rsidR="00682BA5" w:rsidRDefault="00E771CD">
    <w:r>
      <w:rPr>
        <w:rFonts w:ascii="Neuzeit Gro T OT" w:eastAsia="Neuzeit Gro T OT" w:hAnsi="Neuzeit Gro T OT" w:cs="Neuzeit Gro T OT"/>
        <w:b/>
        <w:color w:val="000000"/>
        <w:sz w:val="20"/>
        <w:szCs w:val="20"/>
      </w:rPr>
      <w:fldChar w:fldCharType="begin"/>
    </w:r>
    <w:r>
      <w:rPr>
        <w:rFonts w:ascii="Neuzeit Gro T OT" w:eastAsia="Neuzeit Gro T OT" w:hAnsi="Neuzeit Gro T OT" w:cs="Neuzeit Gro T OT"/>
        <w:b/>
        <w:color w:val="000000"/>
        <w:sz w:val="20"/>
        <w:szCs w:val="20"/>
      </w:rPr>
      <w:instrText>PAGE</w:instrText>
    </w:r>
    <w:r>
      <w:rPr>
        <w:rFonts w:ascii="Neuzeit Gro T OT" w:eastAsia="Neuzeit Gro T OT" w:hAnsi="Neuzeit Gro T OT" w:cs="Neuzeit Gro T OT"/>
        <w:b/>
        <w:color w:val="000000"/>
        <w:sz w:val="20"/>
        <w:szCs w:val="20"/>
      </w:rPr>
      <w:fldChar w:fldCharType="end"/>
    </w:r>
  </w:p>
  <w:p w14:paraId="0000034E" w14:textId="77777777" w:rsidR="00682BA5" w:rsidRDefault="00682B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46" w14:textId="0833073B" w:rsidR="00682BA5" w:rsidRDefault="00E771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Neuzeit Gro T OT" w:eastAsia="Neuzeit Gro T OT" w:hAnsi="Neuzeit Gro T OT" w:cs="Neuzeit Gro T OT"/>
        <w:b/>
        <w:color w:val="000000"/>
        <w:sz w:val="20"/>
        <w:szCs w:val="20"/>
      </w:rPr>
    </w:pPr>
    <w:r>
      <w:rPr>
        <w:rFonts w:ascii="Neuzeit Gro T OT" w:eastAsia="Neuzeit Gro T OT" w:hAnsi="Neuzeit Gro T OT" w:cs="Neuzeit Gro T OT"/>
        <w:b/>
        <w:color w:val="000000"/>
        <w:sz w:val="20"/>
        <w:szCs w:val="20"/>
      </w:rPr>
      <w:fldChar w:fldCharType="begin"/>
    </w:r>
    <w:r>
      <w:rPr>
        <w:rFonts w:ascii="Neuzeit Gro T OT" w:eastAsia="Neuzeit Gro T OT" w:hAnsi="Neuzeit Gro T OT" w:cs="Neuzeit Gro T OT"/>
        <w:b/>
        <w:color w:val="000000"/>
        <w:sz w:val="20"/>
        <w:szCs w:val="20"/>
      </w:rPr>
      <w:instrText>PAGE</w:instrText>
    </w:r>
    <w:r>
      <w:rPr>
        <w:rFonts w:ascii="Neuzeit Gro T OT" w:eastAsia="Neuzeit Gro T OT" w:hAnsi="Neuzeit Gro T OT" w:cs="Neuzeit Gro T OT"/>
        <w:b/>
        <w:color w:val="000000"/>
        <w:sz w:val="20"/>
        <w:szCs w:val="20"/>
      </w:rPr>
      <w:fldChar w:fldCharType="separate"/>
    </w:r>
    <w:r w:rsidR="009E39EB">
      <w:rPr>
        <w:rFonts w:ascii="Neuzeit Gro T OT" w:eastAsia="Neuzeit Gro T OT" w:hAnsi="Neuzeit Gro T OT" w:cs="Neuzeit Gro T OT"/>
        <w:b/>
        <w:noProof/>
        <w:color w:val="000000"/>
        <w:sz w:val="20"/>
        <w:szCs w:val="20"/>
      </w:rPr>
      <w:t>2</w:t>
    </w:r>
    <w:r>
      <w:rPr>
        <w:rFonts w:ascii="Neuzeit Gro T OT" w:eastAsia="Neuzeit Gro T OT" w:hAnsi="Neuzeit Gro T OT" w:cs="Neuzeit Gro T OT"/>
        <w:b/>
        <w:color w:val="000000"/>
        <w:sz w:val="20"/>
        <w:szCs w:val="20"/>
      </w:rPr>
      <w:fldChar w:fldCharType="end"/>
    </w:r>
    <w:r>
      <w:rPr>
        <w:rFonts w:ascii="Neuzeit Gro T OT" w:eastAsia="Neuzeit Gro T OT" w:hAnsi="Neuzeit Gro T OT" w:cs="Neuzeit Gro T OT"/>
        <w:b/>
        <w:color w:val="000000"/>
        <w:sz w:val="20"/>
        <w:szCs w:val="20"/>
      </w:rPr>
      <w:tab/>
    </w:r>
    <w:r>
      <w:rPr>
        <w:color w:val="000000"/>
      </w:rPr>
      <w:t>Together for a better built environment</w:t>
    </w:r>
    <w:r>
      <w:rPr>
        <w:color w:val="000000"/>
      </w:rPr>
      <w:tab/>
      <w:t>www.ukgbc.org</w:t>
    </w:r>
  </w:p>
  <w:p w14:paraId="00000347" w14:textId="77777777" w:rsidR="00682BA5" w:rsidRDefault="00682BA5"/>
  <w:p w14:paraId="00000348" w14:textId="77777777" w:rsidR="00682BA5" w:rsidRDefault="00682BA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4A" w14:textId="77777777" w:rsidR="00682BA5" w:rsidRDefault="00682B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0BC3" w14:textId="77777777" w:rsidR="00912560" w:rsidRDefault="00912560">
      <w:r>
        <w:separator/>
      </w:r>
    </w:p>
  </w:footnote>
  <w:footnote w:type="continuationSeparator" w:id="0">
    <w:p w14:paraId="78B3BEE3" w14:textId="77777777" w:rsidR="00912560" w:rsidRDefault="00912560">
      <w:r>
        <w:continuationSeparator/>
      </w:r>
    </w:p>
  </w:footnote>
  <w:footnote w:type="continuationNotice" w:id="1">
    <w:p w14:paraId="2CA13D41" w14:textId="77777777" w:rsidR="00912560" w:rsidRDefault="009125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45" w14:textId="77777777" w:rsidR="00682BA5" w:rsidRDefault="00E771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5168" behindDoc="0" locked="0" layoutInCell="1" hidden="0" allowOverlap="1" wp14:anchorId="745FE3DB" wp14:editId="1DB53CED">
          <wp:simplePos x="0" y="0"/>
          <wp:positionH relativeFrom="column">
            <wp:posOffset>4791075</wp:posOffset>
          </wp:positionH>
          <wp:positionV relativeFrom="paragraph">
            <wp:posOffset>-542923</wp:posOffset>
          </wp:positionV>
          <wp:extent cx="1809750" cy="1129347"/>
          <wp:effectExtent l="0" t="0" r="0" b="0"/>
          <wp:wrapNone/>
          <wp:docPr id="3" name="image6.jpg" descr="/Volumes/EARTHCREATIVE/02 Clients/UKGBC/J2320 - Rebrand/09_FINAL FILES/LH 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/Volumes/EARTHCREATIVE/02 Clients/UKGBC/J2320 - Rebrand/09_FINAL FILES/LH head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0" cy="11293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4CEF0705" wp14:editId="08ED2A21">
          <wp:simplePos x="0" y="0"/>
          <wp:positionH relativeFrom="column">
            <wp:posOffset>3</wp:posOffset>
          </wp:positionH>
          <wp:positionV relativeFrom="paragraph">
            <wp:posOffset>-212175</wp:posOffset>
          </wp:positionV>
          <wp:extent cx="1433830" cy="466725"/>
          <wp:effectExtent l="0" t="0" r="0" b="0"/>
          <wp:wrapNone/>
          <wp:docPr id="29" name="image1.jpg" descr="A picture containing clipart&#10;&#10;Description generated with very high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clipart&#10;&#10;Description generated with very high confidenc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383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49" w14:textId="77777777" w:rsidR="00682BA5" w:rsidRDefault="00E771CD">
    <w:r>
      <w:rPr>
        <w:noProof/>
      </w:rPr>
      <w:drawing>
        <wp:anchor distT="0" distB="0" distL="114300" distR="114300" simplePos="0" relativeHeight="251659264" behindDoc="0" locked="0" layoutInCell="1" hidden="0" allowOverlap="1" wp14:anchorId="0D75E944" wp14:editId="7F828ECC">
          <wp:simplePos x="0" y="0"/>
          <wp:positionH relativeFrom="column">
            <wp:posOffset>4695825</wp:posOffset>
          </wp:positionH>
          <wp:positionV relativeFrom="paragraph">
            <wp:posOffset>-581658</wp:posOffset>
          </wp:positionV>
          <wp:extent cx="1809750" cy="1129347"/>
          <wp:effectExtent l="0" t="0" r="0" b="0"/>
          <wp:wrapNone/>
          <wp:docPr id="30" name="image6.jpg" descr="/Volumes/EARTHCREATIVE/02 Clients/UKGBC/J2320 - Rebrand/09_FINAL FILES/LH 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/Volumes/EARTHCREATIVE/02 Clients/UKGBC/J2320 - Rebrand/09_FINAL FILES/LH head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0" cy="11293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EAD11AF" wp14:editId="608C3DDD">
          <wp:simplePos x="0" y="0"/>
          <wp:positionH relativeFrom="column">
            <wp:posOffset>3</wp:posOffset>
          </wp:positionH>
          <wp:positionV relativeFrom="paragraph">
            <wp:posOffset>-247648</wp:posOffset>
          </wp:positionV>
          <wp:extent cx="1433830" cy="466725"/>
          <wp:effectExtent l="0" t="0" r="0" b="0"/>
          <wp:wrapNone/>
          <wp:docPr id="31" name="image1.jpg" descr="A picture containing clipart&#10;&#10;Description generated with very high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clipart&#10;&#10;Description generated with very high confidenc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383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1AB"/>
    <w:multiLevelType w:val="hybridMultilevel"/>
    <w:tmpl w:val="4E322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9F8"/>
    <w:multiLevelType w:val="hybridMultilevel"/>
    <w:tmpl w:val="492A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14E9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98652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152E13"/>
    <w:multiLevelType w:val="hybridMultilevel"/>
    <w:tmpl w:val="9DFC5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42E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6E7C4A"/>
    <w:multiLevelType w:val="hybridMultilevel"/>
    <w:tmpl w:val="E05A5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342D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41F6A90"/>
    <w:multiLevelType w:val="hybridMultilevel"/>
    <w:tmpl w:val="8FF8B738"/>
    <w:lvl w:ilvl="0" w:tplc="8E8C28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20B2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5671C1B"/>
    <w:multiLevelType w:val="hybridMultilevel"/>
    <w:tmpl w:val="B8366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33CB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98058C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E650A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879A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20A53EF"/>
    <w:multiLevelType w:val="hybridMultilevel"/>
    <w:tmpl w:val="39EC5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95D6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87514B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3560BD2"/>
    <w:multiLevelType w:val="multilevel"/>
    <w:tmpl w:val="90D6F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7CD54CC"/>
    <w:multiLevelType w:val="hybridMultilevel"/>
    <w:tmpl w:val="5D200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36C4B"/>
    <w:multiLevelType w:val="hybridMultilevel"/>
    <w:tmpl w:val="E8907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52CD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BDF5F37"/>
    <w:multiLevelType w:val="multilevel"/>
    <w:tmpl w:val="FFFFFFFF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4F95502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1F85B94"/>
    <w:multiLevelType w:val="hybridMultilevel"/>
    <w:tmpl w:val="48844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E22FD"/>
    <w:multiLevelType w:val="hybridMultilevel"/>
    <w:tmpl w:val="77F6B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74C8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27" w15:restartNumberingAfterBreak="0">
    <w:nsid w:val="5C2B3A06"/>
    <w:multiLevelType w:val="hybridMultilevel"/>
    <w:tmpl w:val="9AD8E1CE"/>
    <w:lvl w:ilvl="0" w:tplc="3E3C1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E61D5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EA627A2"/>
    <w:multiLevelType w:val="multilevel"/>
    <w:tmpl w:val="63E230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509353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ED200E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F11056A"/>
    <w:multiLevelType w:val="hybridMultilevel"/>
    <w:tmpl w:val="CA06E98A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13"/>
  </w:num>
  <w:num w:numId="4">
    <w:abstractNumId w:val="23"/>
  </w:num>
  <w:num w:numId="5">
    <w:abstractNumId w:val="11"/>
  </w:num>
  <w:num w:numId="6">
    <w:abstractNumId w:val="3"/>
  </w:num>
  <w:num w:numId="7">
    <w:abstractNumId w:val="22"/>
  </w:num>
  <w:num w:numId="8">
    <w:abstractNumId w:val="2"/>
  </w:num>
  <w:num w:numId="9">
    <w:abstractNumId w:val="5"/>
  </w:num>
  <w:num w:numId="10">
    <w:abstractNumId w:val="21"/>
  </w:num>
  <w:num w:numId="11">
    <w:abstractNumId w:val="9"/>
  </w:num>
  <w:num w:numId="12">
    <w:abstractNumId w:val="7"/>
  </w:num>
  <w:num w:numId="13">
    <w:abstractNumId w:val="14"/>
  </w:num>
  <w:num w:numId="14">
    <w:abstractNumId w:val="26"/>
  </w:num>
  <w:num w:numId="15">
    <w:abstractNumId w:val="12"/>
  </w:num>
  <w:num w:numId="16">
    <w:abstractNumId w:val="30"/>
  </w:num>
  <w:num w:numId="17">
    <w:abstractNumId w:val="17"/>
  </w:num>
  <w:num w:numId="18">
    <w:abstractNumId w:val="16"/>
  </w:num>
  <w:num w:numId="19">
    <w:abstractNumId w:val="20"/>
  </w:num>
  <w:num w:numId="20">
    <w:abstractNumId w:val="15"/>
  </w:num>
  <w:num w:numId="21">
    <w:abstractNumId w:val="19"/>
  </w:num>
  <w:num w:numId="22">
    <w:abstractNumId w:val="8"/>
  </w:num>
  <w:num w:numId="23">
    <w:abstractNumId w:val="32"/>
  </w:num>
  <w:num w:numId="24">
    <w:abstractNumId w:val="6"/>
  </w:num>
  <w:num w:numId="25">
    <w:abstractNumId w:val="25"/>
  </w:num>
  <w:num w:numId="26">
    <w:abstractNumId w:val="27"/>
  </w:num>
  <w:num w:numId="27">
    <w:abstractNumId w:val="10"/>
  </w:num>
  <w:num w:numId="28">
    <w:abstractNumId w:val="24"/>
  </w:num>
  <w:num w:numId="29">
    <w:abstractNumId w:val="18"/>
  </w:num>
  <w:num w:numId="30">
    <w:abstractNumId w:val="0"/>
  </w:num>
  <w:num w:numId="31">
    <w:abstractNumId w:val="29"/>
  </w:num>
  <w:num w:numId="32">
    <w:abstractNumId w:val="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A5"/>
    <w:rsid w:val="00000212"/>
    <w:rsid w:val="000006CC"/>
    <w:rsid w:val="00001D94"/>
    <w:rsid w:val="00002056"/>
    <w:rsid w:val="00005464"/>
    <w:rsid w:val="0000749C"/>
    <w:rsid w:val="000078D9"/>
    <w:rsid w:val="00010691"/>
    <w:rsid w:val="00010842"/>
    <w:rsid w:val="00011C5B"/>
    <w:rsid w:val="000135FE"/>
    <w:rsid w:val="00013DEC"/>
    <w:rsid w:val="0001453D"/>
    <w:rsid w:val="00014F47"/>
    <w:rsid w:val="00015491"/>
    <w:rsid w:val="0001699D"/>
    <w:rsid w:val="00016B1F"/>
    <w:rsid w:val="00016D4C"/>
    <w:rsid w:val="000174E5"/>
    <w:rsid w:val="000174F1"/>
    <w:rsid w:val="00017E13"/>
    <w:rsid w:val="00021323"/>
    <w:rsid w:val="000216D8"/>
    <w:rsid w:val="00021E2E"/>
    <w:rsid w:val="0002210D"/>
    <w:rsid w:val="00022E0A"/>
    <w:rsid w:val="00023696"/>
    <w:rsid w:val="00023A16"/>
    <w:rsid w:val="00024B1F"/>
    <w:rsid w:val="0002624E"/>
    <w:rsid w:val="00026683"/>
    <w:rsid w:val="00026E76"/>
    <w:rsid w:val="000275DE"/>
    <w:rsid w:val="00027DB7"/>
    <w:rsid w:val="000309EA"/>
    <w:rsid w:val="00030BCE"/>
    <w:rsid w:val="00030F8B"/>
    <w:rsid w:val="000317D8"/>
    <w:rsid w:val="000320E5"/>
    <w:rsid w:val="00032128"/>
    <w:rsid w:val="00032E4C"/>
    <w:rsid w:val="0003510A"/>
    <w:rsid w:val="00035319"/>
    <w:rsid w:val="000355C3"/>
    <w:rsid w:val="000358B5"/>
    <w:rsid w:val="00035969"/>
    <w:rsid w:val="00036F3C"/>
    <w:rsid w:val="00036FDD"/>
    <w:rsid w:val="00037B78"/>
    <w:rsid w:val="000407E5"/>
    <w:rsid w:val="000410C3"/>
    <w:rsid w:val="0004215B"/>
    <w:rsid w:val="000425E0"/>
    <w:rsid w:val="00042BA8"/>
    <w:rsid w:val="00042D48"/>
    <w:rsid w:val="000436BE"/>
    <w:rsid w:val="000446C2"/>
    <w:rsid w:val="000451CC"/>
    <w:rsid w:val="00045632"/>
    <w:rsid w:val="000461B4"/>
    <w:rsid w:val="0004636F"/>
    <w:rsid w:val="00050A54"/>
    <w:rsid w:val="00050AAF"/>
    <w:rsid w:val="00050F65"/>
    <w:rsid w:val="00051AF5"/>
    <w:rsid w:val="0005360B"/>
    <w:rsid w:val="00053DAA"/>
    <w:rsid w:val="00054683"/>
    <w:rsid w:val="00054C7C"/>
    <w:rsid w:val="00054CE8"/>
    <w:rsid w:val="000551D2"/>
    <w:rsid w:val="0005728B"/>
    <w:rsid w:val="00057728"/>
    <w:rsid w:val="00057912"/>
    <w:rsid w:val="000604CA"/>
    <w:rsid w:val="000605A2"/>
    <w:rsid w:val="00061B32"/>
    <w:rsid w:val="00061BF3"/>
    <w:rsid w:val="00061BFB"/>
    <w:rsid w:val="000625DC"/>
    <w:rsid w:val="00063661"/>
    <w:rsid w:val="00063B52"/>
    <w:rsid w:val="00064015"/>
    <w:rsid w:val="000644A1"/>
    <w:rsid w:val="0006455D"/>
    <w:rsid w:val="00065783"/>
    <w:rsid w:val="000669EC"/>
    <w:rsid w:val="00067577"/>
    <w:rsid w:val="00067FE2"/>
    <w:rsid w:val="00070A2A"/>
    <w:rsid w:val="00071BCB"/>
    <w:rsid w:val="00072498"/>
    <w:rsid w:val="000725CD"/>
    <w:rsid w:val="0007327E"/>
    <w:rsid w:val="000733B0"/>
    <w:rsid w:val="00073E27"/>
    <w:rsid w:val="000740A7"/>
    <w:rsid w:val="00074699"/>
    <w:rsid w:val="00074CA7"/>
    <w:rsid w:val="00075875"/>
    <w:rsid w:val="000767AB"/>
    <w:rsid w:val="000770FD"/>
    <w:rsid w:val="00081FCE"/>
    <w:rsid w:val="000847CF"/>
    <w:rsid w:val="00084B38"/>
    <w:rsid w:val="00084C00"/>
    <w:rsid w:val="00085649"/>
    <w:rsid w:val="0008649F"/>
    <w:rsid w:val="00086788"/>
    <w:rsid w:val="00087540"/>
    <w:rsid w:val="000876DF"/>
    <w:rsid w:val="00087CAC"/>
    <w:rsid w:val="00090411"/>
    <w:rsid w:val="00090932"/>
    <w:rsid w:val="00091132"/>
    <w:rsid w:val="00092C35"/>
    <w:rsid w:val="00093362"/>
    <w:rsid w:val="00095040"/>
    <w:rsid w:val="000950EC"/>
    <w:rsid w:val="00095C69"/>
    <w:rsid w:val="00096358"/>
    <w:rsid w:val="000968B0"/>
    <w:rsid w:val="00096926"/>
    <w:rsid w:val="00097AA6"/>
    <w:rsid w:val="00097DB3"/>
    <w:rsid w:val="000A04B2"/>
    <w:rsid w:val="000A0678"/>
    <w:rsid w:val="000A1DC2"/>
    <w:rsid w:val="000A2232"/>
    <w:rsid w:val="000A2971"/>
    <w:rsid w:val="000A2E9D"/>
    <w:rsid w:val="000A3168"/>
    <w:rsid w:val="000A3530"/>
    <w:rsid w:val="000A4F75"/>
    <w:rsid w:val="000A5141"/>
    <w:rsid w:val="000A523A"/>
    <w:rsid w:val="000A6EBC"/>
    <w:rsid w:val="000A6F39"/>
    <w:rsid w:val="000A7ABD"/>
    <w:rsid w:val="000A7CEE"/>
    <w:rsid w:val="000A7E5E"/>
    <w:rsid w:val="000A7ECD"/>
    <w:rsid w:val="000B00B4"/>
    <w:rsid w:val="000B14C2"/>
    <w:rsid w:val="000B269B"/>
    <w:rsid w:val="000B2D51"/>
    <w:rsid w:val="000B3268"/>
    <w:rsid w:val="000B3F3C"/>
    <w:rsid w:val="000B4F76"/>
    <w:rsid w:val="000B50FB"/>
    <w:rsid w:val="000B5220"/>
    <w:rsid w:val="000B7349"/>
    <w:rsid w:val="000B7DBD"/>
    <w:rsid w:val="000C09BC"/>
    <w:rsid w:val="000C0B77"/>
    <w:rsid w:val="000C0C79"/>
    <w:rsid w:val="000C0D03"/>
    <w:rsid w:val="000C151C"/>
    <w:rsid w:val="000C1ADB"/>
    <w:rsid w:val="000C2632"/>
    <w:rsid w:val="000C510D"/>
    <w:rsid w:val="000C683D"/>
    <w:rsid w:val="000C7677"/>
    <w:rsid w:val="000D025B"/>
    <w:rsid w:val="000D145A"/>
    <w:rsid w:val="000D173B"/>
    <w:rsid w:val="000D1AEE"/>
    <w:rsid w:val="000D25B5"/>
    <w:rsid w:val="000D399F"/>
    <w:rsid w:val="000D3B9C"/>
    <w:rsid w:val="000D450A"/>
    <w:rsid w:val="000D45E2"/>
    <w:rsid w:val="000D5803"/>
    <w:rsid w:val="000D6281"/>
    <w:rsid w:val="000D6769"/>
    <w:rsid w:val="000D71CD"/>
    <w:rsid w:val="000D755D"/>
    <w:rsid w:val="000D75E4"/>
    <w:rsid w:val="000E0728"/>
    <w:rsid w:val="000E0967"/>
    <w:rsid w:val="000E1557"/>
    <w:rsid w:val="000E1E1E"/>
    <w:rsid w:val="000E3B31"/>
    <w:rsid w:val="000E3E5A"/>
    <w:rsid w:val="000E4BD5"/>
    <w:rsid w:val="000E6331"/>
    <w:rsid w:val="000E67A9"/>
    <w:rsid w:val="000E6DF6"/>
    <w:rsid w:val="000F00AB"/>
    <w:rsid w:val="000F0532"/>
    <w:rsid w:val="000F1129"/>
    <w:rsid w:val="000F2876"/>
    <w:rsid w:val="000F2984"/>
    <w:rsid w:val="000F2CB6"/>
    <w:rsid w:val="000F2F2D"/>
    <w:rsid w:val="000F3353"/>
    <w:rsid w:val="000F33B2"/>
    <w:rsid w:val="000F33BB"/>
    <w:rsid w:val="000F388F"/>
    <w:rsid w:val="000F44E8"/>
    <w:rsid w:val="000F48A0"/>
    <w:rsid w:val="000F49AD"/>
    <w:rsid w:val="000F5270"/>
    <w:rsid w:val="000F5DE2"/>
    <w:rsid w:val="000F64F2"/>
    <w:rsid w:val="000F6B9E"/>
    <w:rsid w:val="000F6CEC"/>
    <w:rsid w:val="000F6EA7"/>
    <w:rsid w:val="0010116B"/>
    <w:rsid w:val="00101E2E"/>
    <w:rsid w:val="00102875"/>
    <w:rsid w:val="001039E9"/>
    <w:rsid w:val="00103FCC"/>
    <w:rsid w:val="001045C4"/>
    <w:rsid w:val="00104B9C"/>
    <w:rsid w:val="00104C20"/>
    <w:rsid w:val="00105BAB"/>
    <w:rsid w:val="00106136"/>
    <w:rsid w:val="00106291"/>
    <w:rsid w:val="0010652E"/>
    <w:rsid w:val="00106D6C"/>
    <w:rsid w:val="00107A37"/>
    <w:rsid w:val="00107F0D"/>
    <w:rsid w:val="00110CD7"/>
    <w:rsid w:val="0011144F"/>
    <w:rsid w:val="00111550"/>
    <w:rsid w:val="00111A7D"/>
    <w:rsid w:val="00111D70"/>
    <w:rsid w:val="001127BA"/>
    <w:rsid w:val="00112D9E"/>
    <w:rsid w:val="001130BC"/>
    <w:rsid w:val="001131AE"/>
    <w:rsid w:val="00113B2E"/>
    <w:rsid w:val="00113F36"/>
    <w:rsid w:val="001141AA"/>
    <w:rsid w:val="00114D80"/>
    <w:rsid w:val="00115D44"/>
    <w:rsid w:val="00115E0B"/>
    <w:rsid w:val="0011700E"/>
    <w:rsid w:val="00117307"/>
    <w:rsid w:val="001175BF"/>
    <w:rsid w:val="00120284"/>
    <w:rsid w:val="00120B61"/>
    <w:rsid w:val="001210A9"/>
    <w:rsid w:val="00121434"/>
    <w:rsid w:val="00121522"/>
    <w:rsid w:val="00122673"/>
    <w:rsid w:val="00124464"/>
    <w:rsid w:val="001254F9"/>
    <w:rsid w:val="0012580F"/>
    <w:rsid w:val="0012644F"/>
    <w:rsid w:val="00126733"/>
    <w:rsid w:val="00127434"/>
    <w:rsid w:val="00127915"/>
    <w:rsid w:val="00127BE5"/>
    <w:rsid w:val="00130C28"/>
    <w:rsid w:val="00130D01"/>
    <w:rsid w:val="00130E25"/>
    <w:rsid w:val="00131413"/>
    <w:rsid w:val="0013156B"/>
    <w:rsid w:val="00131E4A"/>
    <w:rsid w:val="001322BB"/>
    <w:rsid w:val="001324D5"/>
    <w:rsid w:val="00132E3F"/>
    <w:rsid w:val="00133266"/>
    <w:rsid w:val="00133B1D"/>
    <w:rsid w:val="00133CB6"/>
    <w:rsid w:val="001343E0"/>
    <w:rsid w:val="00134BB8"/>
    <w:rsid w:val="001356C7"/>
    <w:rsid w:val="00135925"/>
    <w:rsid w:val="00136E06"/>
    <w:rsid w:val="00136E85"/>
    <w:rsid w:val="0013773A"/>
    <w:rsid w:val="00137B38"/>
    <w:rsid w:val="0014011A"/>
    <w:rsid w:val="00140199"/>
    <w:rsid w:val="0014044C"/>
    <w:rsid w:val="00140751"/>
    <w:rsid w:val="00140F55"/>
    <w:rsid w:val="0014105B"/>
    <w:rsid w:val="0014158C"/>
    <w:rsid w:val="00141989"/>
    <w:rsid w:val="0014239F"/>
    <w:rsid w:val="001427B8"/>
    <w:rsid w:val="001428B0"/>
    <w:rsid w:val="0014343C"/>
    <w:rsid w:val="001436A2"/>
    <w:rsid w:val="00144353"/>
    <w:rsid w:val="00144E06"/>
    <w:rsid w:val="001458FC"/>
    <w:rsid w:val="00146156"/>
    <w:rsid w:val="001461B8"/>
    <w:rsid w:val="00146D66"/>
    <w:rsid w:val="001505F9"/>
    <w:rsid w:val="00150CB8"/>
    <w:rsid w:val="00151589"/>
    <w:rsid w:val="00151A08"/>
    <w:rsid w:val="00152453"/>
    <w:rsid w:val="00152606"/>
    <w:rsid w:val="00152E69"/>
    <w:rsid w:val="001537FC"/>
    <w:rsid w:val="0015456E"/>
    <w:rsid w:val="001545D9"/>
    <w:rsid w:val="001555ED"/>
    <w:rsid w:val="00155FC3"/>
    <w:rsid w:val="0015658D"/>
    <w:rsid w:val="00156794"/>
    <w:rsid w:val="00157A06"/>
    <w:rsid w:val="00157AF1"/>
    <w:rsid w:val="00157BD3"/>
    <w:rsid w:val="00157BFD"/>
    <w:rsid w:val="001604A3"/>
    <w:rsid w:val="00160B28"/>
    <w:rsid w:val="001610AC"/>
    <w:rsid w:val="001618B1"/>
    <w:rsid w:val="00161942"/>
    <w:rsid w:val="00161BCA"/>
    <w:rsid w:val="0016283A"/>
    <w:rsid w:val="00162ABE"/>
    <w:rsid w:val="00164809"/>
    <w:rsid w:val="0016514A"/>
    <w:rsid w:val="00165420"/>
    <w:rsid w:val="00165CCE"/>
    <w:rsid w:val="00165E35"/>
    <w:rsid w:val="00165F38"/>
    <w:rsid w:val="001677AD"/>
    <w:rsid w:val="00170D88"/>
    <w:rsid w:val="00170FD0"/>
    <w:rsid w:val="0017135B"/>
    <w:rsid w:val="0017185F"/>
    <w:rsid w:val="00172245"/>
    <w:rsid w:val="00172B2D"/>
    <w:rsid w:val="001742D7"/>
    <w:rsid w:val="001747B3"/>
    <w:rsid w:val="00174DF9"/>
    <w:rsid w:val="00175CB1"/>
    <w:rsid w:val="00176BA9"/>
    <w:rsid w:val="0017709B"/>
    <w:rsid w:val="00177848"/>
    <w:rsid w:val="00177B59"/>
    <w:rsid w:val="0018027A"/>
    <w:rsid w:val="0018122A"/>
    <w:rsid w:val="001828AD"/>
    <w:rsid w:val="00182BAB"/>
    <w:rsid w:val="00183C97"/>
    <w:rsid w:val="00184DA1"/>
    <w:rsid w:val="00185683"/>
    <w:rsid w:val="00185752"/>
    <w:rsid w:val="00185F53"/>
    <w:rsid w:val="00185F99"/>
    <w:rsid w:val="001870F0"/>
    <w:rsid w:val="001903E7"/>
    <w:rsid w:val="00190C2B"/>
    <w:rsid w:val="00191BC3"/>
    <w:rsid w:val="00192107"/>
    <w:rsid w:val="00192B70"/>
    <w:rsid w:val="00192D9B"/>
    <w:rsid w:val="00193725"/>
    <w:rsid w:val="00194AA8"/>
    <w:rsid w:val="00194E86"/>
    <w:rsid w:val="00195F09"/>
    <w:rsid w:val="00196CD4"/>
    <w:rsid w:val="00196DB0"/>
    <w:rsid w:val="00196F6C"/>
    <w:rsid w:val="00197B75"/>
    <w:rsid w:val="001A0470"/>
    <w:rsid w:val="001A0D6B"/>
    <w:rsid w:val="001A104B"/>
    <w:rsid w:val="001A1296"/>
    <w:rsid w:val="001A149E"/>
    <w:rsid w:val="001A1B4F"/>
    <w:rsid w:val="001A2DB9"/>
    <w:rsid w:val="001A3959"/>
    <w:rsid w:val="001A57B3"/>
    <w:rsid w:val="001A7662"/>
    <w:rsid w:val="001A76BE"/>
    <w:rsid w:val="001A7BD5"/>
    <w:rsid w:val="001A7FE2"/>
    <w:rsid w:val="001B060A"/>
    <w:rsid w:val="001B1506"/>
    <w:rsid w:val="001B17C8"/>
    <w:rsid w:val="001B1C1A"/>
    <w:rsid w:val="001B200F"/>
    <w:rsid w:val="001B2B02"/>
    <w:rsid w:val="001B2D35"/>
    <w:rsid w:val="001B2DCF"/>
    <w:rsid w:val="001B3519"/>
    <w:rsid w:val="001B46C6"/>
    <w:rsid w:val="001B4793"/>
    <w:rsid w:val="001B48A2"/>
    <w:rsid w:val="001B57C4"/>
    <w:rsid w:val="001B5A6C"/>
    <w:rsid w:val="001B7A84"/>
    <w:rsid w:val="001C0020"/>
    <w:rsid w:val="001C00D1"/>
    <w:rsid w:val="001C0AC3"/>
    <w:rsid w:val="001C0E24"/>
    <w:rsid w:val="001C11D8"/>
    <w:rsid w:val="001C14EF"/>
    <w:rsid w:val="001C17AE"/>
    <w:rsid w:val="001C3015"/>
    <w:rsid w:val="001C3C59"/>
    <w:rsid w:val="001C3E17"/>
    <w:rsid w:val="001C483E"/>
    <w:rsid w:val="001C4FBF"/>
    <w:rsid w:val="001C5A6A"/>
    <w:rsid w:val="001C60C8"/>
    <w:rsid w:val="001C66E4"/>
    <w:rsid w:val="001D0C13"/>
    <w:rsid w:val="001D11ED"/>
    <w:rsid w:val="001D13D5"/>
    <w:rsid w:val="001D1D55"/>
    <w:rsid w:val="001D1EB9"/>
    <w:rsid w:val="001D21BD"/>
    <w:rsid w:val="001D2FE3"/>
    <w:rsid w:val="001D3189"/>
    <w:rsid w:val="001D37C2"/>
    <w:rsid w:val="001D3D7B"/>
    <w:rsid w:val="001D4951"/>
    <w:rsid w:val="001D5302"/>
    <w:rsid w:val="001D546E"/>
    <w:rsid w:val="001D6262"/>
    <w:rsid w:val="001D6CEF"/>
    <w:rsid w:val="001D74C1"/>
    <w:rsid w:val="001D7E0E"/>
    <w:rsid w:val="001E0E30"/>
    <w:rsid w:val="001E28E2"/>
    <w:rsid w:val="001E6178"/>
    <w:rsid w:val="001E6695"/>
    <w:rsid w:val="001E6BD6"/>
    <w:rsid w:val="001F03F1"/>
    <w:rsid w:val="001F062B"/>
    <w:rsid w:val="001F0829"/>
    <w:rsid w:val="001F16B6"/>
    <w:rsid w:val="001F2100"/>
    <w:rsid w:val="001F215F"/>
    <w:rsid w:val="001F2CFF"/>
    <w:rsid w:val="001F37E4"/>
    <w:rsid w:val="001F5DE9"/>
    <w:rsid w:val="001F5DEB"/>
    <w:rsid w:val="001F6759"/>
    <w:rsid w:val="001F6E85"/>
    <w:rsid w:val="001F6E9F"/>
    <w:rsid w:val="001F7120"/>
    <w:rsid w:val="0020061F"/>
    <w:rsid w:val="00200700"/>
    <w:rsid w:val="0020073C"/>
    <w:rsid w:val="00200AC7"/>
    <w:rsid w:val="002011AE"/>
    <w:rsid w:val="00201527"/>
    <w:rsid w:val="00201A08"/>
    <w:rsid w:val="00202072"/>
    <w:rsid w:val="00202A17"/>
    <w:rsid w:val="00202C97"/>
    <w:rsid w:val="002033EE"/>
    <w:rsid w:val="0020354A"/>
    <w:rsid w:val="002047DD"/>
    <w:rsid w:val="00204F9C"/>
    <w:rsid w:val="002061A2"/>
    <w:rsid w:val="0020632A"/>
    <w:rsid w:val="00206C03"/>
    <w:rsid w:val="00206F9C"/>
    <w:rsid w:val="00207228"/>
    <w:rsid w:val="0020788A"/>
    <w:rsid w:val="0021173D"/>
    <w:rsid w:val="0021191D"/>
    <w:rsid w:val="00211A36"/>
    <w:rsid w:val="002120C3"/>
    <w:rsid w:val="002126CC"/>
    <w:rsid w:val="00213B70"/>
    <w:rsid w:val="002146E6"/>
    <w:rsid w:val="002147CB"/>
    <w:rsid w:val="002152C5"/>
    <w:rsid w:val="00215558"/>
    <w:rsid w:val="002158B9"/>
    <w:rsid w:val="00215B59"/>
    <w:rsid w:val="00215D0F"/>
    <w:rsid w:val="0021671D"/>
    <w:rsid w:val="002168C3"/>
    <w:rsid w:val="00217FEC"/>
    <w:rsid w:val="0022039A"/>
    <w:rsid w:val="00220CAA"/>
    <w:rsid w:val="00221ADD"/>
    <w:rsid w:val="002229AD"/>
    <w:rsid w:val="0022386F"/>
    <w:rsid w:val="00224507"/>
    <w:rsid w:val="002263B2"/>
    <w:rsid w:val="00226812"/>
    <w:rsid w:val="00226999"/>
    <w:rsid w:val="00226AE0"/>
    <w:rsid w:val="00227226"/>
    <w:rsid w:val="002274DF"/>
    <w:rsid w:val="0023070E"/>
    <w:rsid w:val="002311C1"/>
    <w:rsid w:val="002317D0"/>
    <w:rsid w:val="00232921"/>
    <w:rsid w:val="00235529"/>
    <w:rsid w:val="0023567C"/>
    <w:rsid w:val="002357D0"/>
    <w:rsid w:val="00240066"/>
    <w:rsid w:val="00241086"/>
    <w:rsid w:val="0024163E"/>
    <w:rsid w:val="00241756"/>
    <w:rsid w:val="002430DE"/>
    <w:rsid w:val="0024523D"/>
    <w:rsid w:val="00245978"/>
    <w:rsid w:val="0024669D"/>
    <w:rsid w:val="00247C1B"/>
    <w:rsid w:val="00250065"/>
    <w:rsid w:val="00251207"/>
    <w:rsid w:val="00251CB9"/>
    <w:rsid w:val="00253483"/>
    <w:rsid w:val="002536EE"/>
    <w:rsid w:val="002537F4"/>
    <w:rsid w:val="00255FDB"/>
    <w:rsid w:val="00256721"/>
    <w:rsid w:val="00257745"/>
    <w:rsid w:val="00257990"/>
    <w:rsid w:val="00257E2D"/>
    <w:rsid w:val="0026117B"/>
    <w:rsid w:val="002615EB"/>
    <w:rsid w:val="0026172F"/>
    <w:rsid w:val="002619E6"/>
    <w:rsid w:val="00261B58"/>
    <w:rsid w:val="00261DC3"/>
    <w:rsid w:val="00261FC2"/>
    <w:rsid w:val="00262158"/>
    <w:rsid w:val="00262202"/>
    <w:rsid w:val="002631DD"/>
    <w:rsid w:val="00263E82"/>
    <w:rsid w:val="00264FF1"/>
    <w:rsid w:val="002663F8"/>
    <w:rsid w:val="00266A4D"/>
    <w:rsid w:val="00267B92"/>
    <w:rsid w:val="00270D7B"/>
    <w:rsid w:val="002724FB"/>
    <w:rsid w:val="0027379F"/>
    <w:rsid w:val="00276175"/>
    <w:rsid w:val="00276E3D"/>
    <w:rsid w:val="0027789A"/>
    <w:rsid w:val="002805FC"/>
    <w:rsid w:val="00280BD0"/>
    <w:rsid w:val="002825AD"/>
    <w:rsid w:val="00282CC2"/>
    <w:rsid w:val="0028378F"/>
    <w:rsid w:val="00283AE6"/>
    <w:rsid w:val="00283D8F"/>
    <w:rsid w:val="0028516D"/>
    <w:rsid w:val="0028539B"/>
    <w:rsid w:val="00286DFA"/>
    <w:rsid w:val="002875D4"/>
    <w:rsid w:val="00287BA2"/>
    <w:rsid w:val="00287DE4"/>
    <w:rsid w:val="0029148F"/>
    <w:rsid w:val="00291571"/>
    <w:rsid w:val="00292F20"/>
    <w:rsid w:val="002936DA"/>
    <w:rsid w:val="0029591B"/>
    <w:rsid w:val="00295BB5"/>
    <w:rsid w:val="00297504"/>
    <w:rsid w:val="002A0FA3"/>
    <w:rsid w:val="002A198A"/>
    <w:rsid w:val="002A29E1"/>
    <w:rsid w:val="002A2BC4"/>
    <w:rsid w:val="002A3788"/>
    <w:rsid w:val="002A3C92"/>
    <w:rsid w:val="002A3D4F"/>
    <w:rsid w:val="002A46CB"/>
    <w:rsid w:val="002A4755"/>
    <w:rsid w:val="002A56AD"/>
    <w:rsid w:val="002A5D80"/>
    <w:rsid w:val="002A5D84"/>
    <w:rsid w:val="002A6068"/>
    <w:rsid w:val="002A6780"/>
    <w:rsid w:val="002A7B37"/>
    <w:rsid w:val="002A7DE0"/>
    <w:rsid w:val="002B0504"/>
    <w:rsid w:val="002B06CB"/>
    <w:rsid w:val="002B1399"/>
    <w:rsid w:val="002B20E7"/>
    <w:rsid w:val="002B2322"/>
    <w:rsid w:val="002B2CC1"/>
    <w:rsid w:val="002B31A1"/>
    <w:rsid w:val="002B3D7F"/>
    <w:rsid w:val="002B41EF"/>
    <w:rsid w:val="002B47B9"/>
    <w:rsid w:val="002B4DA0"/>
    <w:rsid w:val="002B4EB9"/>
    <w:rsid w:val="002B68CE"/>
    <w:rsid w:val="002B7984"/>
    <w:rsid w:val="002B7EB8"/>
    <w:rsid w:val="002C146A"/>
    <w:rsid w:val="002C1827"/>
    <w:rsid w:val="002C1D43"/>
    <w:rsid w:val="002C1D4B"/>
    <w:rsid w:val="002C2164"/>
    <w:rsid w:val="002C2350"/>
    <w:rsid w:val="002C3CE7"/>
    <w:rsid w:val="002C3D5E"/>
    <w:rsid w:val="002C45DF"/>
    <w:rsid w:val="002C45E5"/>
    <w:rsid w:val="002C48E7"/>
    <w:rsid w:val="002C5140"/>
    <w:rsid w:val="002C722A"/>
    <w:rsid w:val="002C7B6D"/>
    <w:rsid w:val="002D09E3"/>
    <w:rsid w:val="002D13F4"/>
    <w:rsid w:val="002D15CA"/>
    <w:rsid w:val="002D1877"/>
    <w:rsid w:val="002D1BB1"/>
    <w:rsid w:val="002D22F7"/>
    <w:rsid w:val="002D2E66"/>
    <w:rsid w:val="002D302C"/>
    <w:rsid w:val="002D37AF"/>
    <w:rsid w:val="002D3BAA"/>
    <w:rsid w:val="002D3C63"/>
    <w:rsid w:val="002D4B7E"/>
    <w:rsid w:val="002D5079"/>
    <w:rsid w:val="002D5348"/>
    <w:rsid w:val="002D700B"/>
    <w:rsid w:val="002D7AE4"/>
    <w:rsid w:val="002D7B2D"/>
    <w:rsid w:val="002D7B4B"/>
    <w:rsid w:val="002D7BA1"/>
    <w:rsid w:val="002E0946"/>
    <w:rsid w:val="002E104A"/>
    <w:rsid w:val="002E12C4"/>
    <w:rsid w:val="002E12E7"/>
    <w:rsid w:val="002E1482"/>
    <w:rsid w:val="002E15B7"/>
    <w:rsid w:val="002E1F6D"/>
    <w:rsid w:val="002E2254"/>
    <w:rsid w:val="002E32ED"/>
    <w:rsid w:val="002E3CCF"/>
    <w:rsid w:val="002E40D7"/>
    <w:rsid w:val="002E436C"/>
    <w:rsid w:val="002E456B"/>
    <w:rsid w:val="002E4A20"/>
    <w:rsid w:val="002E5748"/>
    <w:rsid w:val="002E5EAE"/>
    <w:rsid w:val="002E6005"/>
    <w:rsid w:val="002E6548"/>
    <w:rsid w:val="002E7B2B"/>
    <w:rsid w:val="002F123F"/>
    <w:rsid w:val="002F35F9"/>
    <w:rsid w:val="002F4B65"/>
    <w:rsid w:val="002F57F9"/>
    <w:rsid w:val="002F67A2"/>
    <w:rsid w:val="002F6916"/>
    <w:rsid w:val="00300971"/>
    <w:rsid w:val="003009AE"/>
    <w:rsid w:val="003022A6"/>
    <w:rsid w:val="00302B31"/>
    <w:rsid w:val="00303B10"/>
    <w:rsid w:val="00303DDE"/>
    <w:rsid w:val="00305008"/>
    <w:rsid w:val="003051E9"/>
    <w:rsid w:val="003059F7"/>
    <w:rsid w:val="003069BA"/>
    <w:rsid w:val="0030775C"/>
    <w:rsid w:val="00307847"/>
    <w:rsid w:val="00307EF0"/>
    <w:rsid w:val="00311997"/>
    <w:rsid w:val="00311D04"/>
    <w:rsid w:val="00311EB9"/>
    <w:rsid w:val="00312BB3"/>
    <w:rsid w:val="00313D71"/>
    <w:rsid w:val="003145FD"/>
    <w:rsid w:val="00314CDD"/>
    <w:rsid w:val="00315125"/>
    <w:rsid w:val="003151FA"/>
    <w:rsid w:val="00315355"/>
    <w:rsid w:val="00315540"/>
    <w:rsid w:val="00315D22"/>
    <w:rsid w:val="00316240"/>
    <w:rsid w:val="003167C6"/>
    <w:rsid w:val="00316A64"/>
    <w:rsid w:val="00316F7C"/>
    <w:rsid w:val="00320225"/>
    <w:rsid w:val="00320FA6"/>
    <w:rsid w:val="003211B7"/>
    <w:rsid w:val="00321B57"/>
    <w:rsid w:val="00322EA6"/>
    <w:rsid w:val="00323335"/>
    <w:rsid w:val="003237D7"/>
    <w:rsid w:val="00323887"/>
    <w:rsid w:val="00323EED"/>
    <w:rsid w:val="0032663F"/>
    <w:rsid w:val="00326885"/>
    <w:rsid w:val="00326965"/>
    <w:rsid w:val="00326999"/>
    <w:rsid w:val="0032703B"/>
    <w:rsid w:val="003270C9"/>
    <w:rsid w:val="00327EE1"/>
    <w:rsid w:val="00331127"/>
    <w:rsid w:val="00331129"/>
    <w:rsid w:val="0033142C"/>
    <w:rsid w:val="00331878"/>
    <w:rsid w:val="00331B45"/>
    <w:rsid w:val="00331BAD"/>
    <w:rsid w:val="00331EB2"/>
    <w:rsid w:val="00332142"/>
    <w:rsid w:val="003323DC"/>
    <w:rsid w:val="003326A6"/>
    <w:rsid w:val="00335135"/>
    <w:rsid w:val="003359FA"/>
    <w:rsid w:val="00335CD7"/>
    <w:rsid w:val="0033627E"/>
    <w:rsid w:val="0033662F"/>
    <w:rsid w:val="00336C00"/>
    <w:rsid w:val="00337DC1"/>
    <w:rsid w:val="003400FA"/>
    <w:rsid w:val="00340D19"/>
    <w:rsid w:val="003418FE"/>
    <w:rsid w:val="00342658"/>
    <w:rsid w:val="003427F3"/>
    <w:rsid w:val="00342DE4"/>
    <w:rsid w:val="00342F46"/>
    <w:rsid w:val="003433C4"/>
    <w:rsid w:val="00343487"/>
    <w:rsid w:val="00343E0C"/>
    <w:rsid w:val="003443BD"/>
    <w:rsid w:val="0034446F"/>
    <w:rsid w:val="003445D2"/>
    <w:rsid w:val="00344D45"/>
    <w:rsid w:val="003453CD"/>
    <w:rsid w:val="003458F8"/>
    <w:rsid w:val="00345952"/>
    <w:rsid w:val="003472C2"/>
    <w:rsid w:val="0034759A"/>
    <w:rsid w:val="003509B7"/>
    <w:rsid w:val="00351249"/>
    <w:rsid w:val="00352EA4"/>
    <w:rsid w:val="00354418"/>
    <w:rsid w:val="00354551"/>
    <w:rsid w:val="00354809"/>
    <w:rsid w:val="00357233"/>
    <w:rsid w:val="00357D44"/>
    <w:rsid w:val="00357DFD"/>
    <w:rsid w:val="00360140"/>
    <w:rsid w:val="00360310"/>
    <w:rsid w:val="003603D0"/>
    <w:rsid w:val="0036042F"/>
    <w:rsid w:val="0036165F"/>
    <w:rsid w:val="003618EA"/>
    <w:rsid w:val="00362482"/>
    <w:rsid w:val="0036250F"/>
    <w:rsid w:val="00362BC0"/>
    <w:rsid w:val="00362C7E"/>
    <w:rsid w:val="00362D97"/>
    <w:rsid w:val="00362F08"/>
    <w:rsid w:val="003630B4"/>
    <w:rsid w:val="00363275"/>
    <w:rsid w:val="00364D38"/>
    <w:rsid w:val="00366393"/>
    <w:rsid w:val="0036661E"/>
    <w:rsid w:val="00366C3C"/>
    <w:rsid w:val="003674B3"/>
    <w:rsid w:val="00367A9B"/>
    <w:rsid w:val="00367E74"/>
    <w:rsid w:val="00370338"/>
    <w:rsid w:val="00370577"/>
    <w:rsid w:val="00371727"/>
    <w:rsid w:val="00372627"/>
    <w:rsid w:val="00373556"/>
    <w:rsid w:val="00373E30"/>
    <w:rsid w:val="00373E71"/>
    <w:rsid w:val="00374844"/>
    <w:rsid w:val="00374986"/>
    <w:rsid w:val="00374BDC"/>
    <w:rsid w:val="0037512E"/>
    <w:rsid w:val="00375A39"/>
    <w:rsid w:val="00375DDF"/>
    <w:rsid w:val="003779CD"/>
    <w:rsid w:val="003801BC"/>
    <w:rsid w:val="00380550"/>
    <w:rsid w:val="00380664"/>
    <w:rsid w:val="00380778"/>
    <w:rsid w:val="00380936"/>
    <w:rsid w:val="00380B03"/>
    <w:rsid w:val="00380B07"/>
    <w:rsid w:val="00381EF6"/>
    <w:rsid w:val="0038260B"/>
    <w:rsid w:val="00382725"/>
    <w:rsid w:val="00382908"/>
    <w:rsid w:val="00383DE9"/>
    <w:rsid w:val="00384AEB"/>
    <w:rsid w:val="00384E70"/>
    <w:rsid w:val="00386290"/>
    <w:rsid w:val="00386DE8"/>
    <w:rsid w:val="003871FB"/>
    <w:rsid w:val="00387FE9"/>
    <w:rsid w:val="00390481"/>
    <w:rsid w:val="003908DF"/>
    <w:rsid w:val="00390B86"/>
    <w:rsid w:val="00390EE5"/>
    <w:rsid w:val="00391CF3"/>
    <w:rsid w:val="00391EE4"/>
    <w:rsid w:val="003926BB"/>
    <w:rsid w:val="0039287C"/>
    <w:rsid w:val="0039327C"/>
    <w:rsid w:val="003933F3"/>
    <w:rsid w:val="0039379F"/>
    <w:rsid w:val="0039390D"/>
    <w:rsid w:val="00394E42"/>
    <w:rsid w:val="003956D0"/>
    <w:rsid w:val="003957DD"/>
    <w:rsid w:val="0039636A"/>
    <w:rsid w:val="003979A3"/>
    <w:rsid w:val="00397BA3"/>
    <w:rsid w:val="00397EE2"/>
    <w:rsid w:val="003A01BF"/>
    <w:rsid w:val="003A0DA0"/>
    <w:rsid w:val="003A34DC"/>
    <w:rsid w:val="003A51A1"/>
    <w:rsid w:val="003A6403"/>
    <w:rsid w:val="003A64BD"/>
    <w:rsid w:val="003A6608"/>
    <w:rsid w:val="003A6A54"/>
    <w:rsid w:val="003A6BFF"/>
    <w:rsid w:val="003A79F9"/>
    <w:rsid w:val="003B01F0"/>
    <w:rsid w:val="003B137F"/>
    <w:rsid w:val="003B16BC"/>
    <w:rsid w:val="003B1761"/>
    <w:rsid w:val="003B324A"/>
    <w:rsid w:val="003B3719"/>
    <w:rsid w:val="003B3D02"/>
    <w:rsid w:val="003B3E0D"/>
    <w:rsid w:val="003B49FE"/>
    <w:rsid w:val="003B6B30"/>
    <w:rsid w:val="003B7540"/>
    <w:rsid w:val="003B7BC8"/>
    <w:rsid w:val="003C000D"/>
    <w:rsid w:val="003C06AA"/>
    <w:rsid w:val="003C2686"/>
    <w:rsid w:val="003C27C4"/>
    <w:rsid w:val="003C2914"/>
    <w:rsid w:val="003C2D75"/>
    <w:rsid w:val="003C3982"/>
    <w:rsid w:val="003C495D"/>
    <w:rsid w:val="003C5669"/>
    <w:rsid w:val="003C5746"/>
    <w:rsid w:val="003C5C7E"/>
    <w:rsid w:val="003C6638"/>
    <w:rsid w:val="003C6F43"/>
    <w:rsid w:val="003C78A1"/>
    <w:rsid w:val="003C7C4C"/>
    <w:rsid w:val="003D0082"/>
    <w:rsid w:val="003D0084"/>
    <w:rsid w:val="003D0DE7"/>
    <w:rsid w:val="003D0E3F"/>
    <w:rsid w:val="003D1733"/>
    <w:rsid w:val="003D2694"/>
    <w:rsid w:val="003D383F"/>
    <w:rsid w:val="003D525B"/>
    <w:rsid w:val="003D640B"/>
    <w:rsid w:val="003D750A"/>
    <w:rsid w:val="003D7826"/>
    <w:rsid w:val="003E02BB"/>
    <w:rsid w:val="003E2250"/>
    <w:rsid w:val="003E37F1"/>
    <w:rsid w:val="003E3854"/>
    <w:rsid w:val="003E4A06"/>
    <w:rsid w:val="003E4FD2"/>
    <w:rsid w:val="003E54CC"/>
    <w:rsid w:val="003E5574"/>
    <w:rsid w:val="003E5E3E"/>
    <w:rsid w:val="003E60AF"/>
    <w:rsid w:val="003E6180"/>
    <w:rsid w:val="003E7ECF"/>
    <w:rsid w:val="003F0AC2"/>
    <w:rsid w:val="003F2606"/>
    <w:rsid w:val="003F36CD"/>
    <w:rsid w:val="003F3740"/>
    <w:rsid w:val="003F3B9F"/>
    <w:rsid w:val="003F4EF3"/>
    <w:rsid w:val="003F513D"/>
    <w:rsid w:val="003F5CD7"/>
    <w:rsid w:val="003F5E86"/>
    <w:rsid w:val="003F62F4"/>
    <w:rsid w:val="003F67B2"/>
    <w:rsid w:val="003F72D3"/>
    <w:rsid w:val="003F761A"/>
    <w:rsid w:val="003F76E2"/>
    <w:rsid w:val="003F79E0"/>
    <w:rsid w:val="003F7B15"/>
    <w:rsid w:val="004004FD"/>
    <w:rsid w:val="00400FBD"/>
    <w:rsid w:val="00401BF2"/>
    <w:rsid w:val="00401E76"/>
    <w:rsid w:val="004025D8"/>
    <w:rsid w:val="004028C8"/>
    <w:rsid w:val="004029BE"/>
    <w:rsid w:val="00402E83"/>
    <w:rsid w:val="004030A0"/>
    <w:rsid w:val="004035B7"/>
    <w:rsid w:val="004048BA"/>
    <w:rsid w:val="004049A4"/>
    <w:rsid w:val="0040547A"/>
    <w:rsid w:val="00407412"/>
    <w:rsid w:val="004106C9"/>
    <w:rsid w:val="00410C8B"/>
    <w:rsid w:val="00410CC8"/>
    <w:rsid w:val="00411313"/>
    <w:rsid w:val="0041177B"/>
    <w:rsid w:val="00411BA9"/>
    <w:rsid w:val="004124E9"/>
    <w:rsid w:val="004124F9"/>
    <w:rsid w:val="00413C37"/>
    <w:rsid w:val="00414386"/>
    <w:rsid w:val="00414BA8"/>
    <w:rsid w:val="00414BAD"/>
    <w:rsid w:val="004165B8"/>
    <w:rsid w:val="00416E73"/>
    <w:rsid w:val="004172F1"/>
    <w:rsid w:val="00420AF6"/>
    <w:rsid w:val="00420D78"/>
    <w:rsid w:val="00423463"/>
    <w:rsid w:val="00423907"/>
    <w:rsid w:val="004243D3"/>
    <w:rsid w:val="004245B1"/>
    <w:rsid w:val="00425886"/>
    <w:rsid w:val="0042596D"/>
    <w:rsid w:val="00426144"/>
    <w:rsid w:val="004306C2"/>
    <w:rsid w:val="00430B77"/>
    <w:rsid w:val="004315FE"/>
    <w:rsid w:val="004322A1"/>
    <w:rsid w:val="00434031"/>
    <w:rsid w:val="00435768"/>
    <w:rsid w:val="004357F5"/>
    <w:rsid w:val="004375B3"/>
    <w:rsid w:val="00437E29"/>
    <w:rsid w:val="00440041"/>
    <w:rsid w:val="004408C7"/>
    <w:rsid w:val="004412BD"/>
    <w:rsid w:val="00441418"/>
    <w:rsid w:val="00441811"/>
    <w:rsid w:val="00441D65"/>
    <w:rsid w:val="004426A0"/>
    <w:rsid w:val="00442C8F"/>
    <w:rsid w:val="00442DCF"/>
    <w:rsid w:val="00443415"/>
    <w:rsid w:val="00443A4F"/>
    <w:rsid w:val="00444296"/>
    <w:rsid w:val="00444E26"/>
    <w:rsid w:val="00444EEB"/>
    <w:rsid w:val="0044583B"/>
    <w:rsid w:val="00445AAD"/>
    <w:rsid w:val="00445F03"/>
    <w:rsid w:val="004462BD"/>
    <w:rsid w:val="00446468"/>
    <w:rsid w:val="004477CE"/>
    <w:rsid w:val="00447F74"/>
    <w:rsid w:val="0045099F"/>
    <w:rsid w:val="004513F5"/>
    <w:rsid w:val="00451D9E"/>
    <w:rsid w:val="00452574"/>
    <w:rsid w:val="00452C8E"/>
    <w:rsid w:val="00453B89"/>
    <w:rsid w:val="00454B2E"/>
    <w:rsid w:val="00454F6A"/>
    <w:rsid w:val="004553F7"/>
    <w:rsid w:val="00455F7C"/>
    <w:rsid w:val="00456754"/>
    <w:rsid w:val="004569C6"/>
    <w:rsid w:val="00456A2D"/>
    <w:rsid w:val="00456C12"/>
    <w:rsid w:val="00456E63"/>
    <w:rsid w:val="00456FD5"/>
    <w:rsid w:val="00456FF4"/>
    <w:rsid w:val="004575E6"/>
    <w:rsid w:val="00457603"/>
    <w:rsid w:val="0045791C"/>
    <w:rsid w:val="00460057"/>
    <w:rsid w:val="004602D6"/>
    <w:rsid w:val="004603B2"/>
    <w:rsid w:val="00461E09"/>
    <w:rsid w:val="004621E0"/>
    <w:rsid w:val="00462554"/>
    <w:rsid w:val="00462923"/>
    <w:rsid w:val="00463B9F"/>
    <w:rsid w:val="00463EB3"/>
    <w:rsid w:val="00464249"/>
    <w:rsid w:val="004646D3"/>
    <w:rsid w:val="00464E23"/>
    <w:rsid w:val="0046561C"/>
    <w:rsid w:val="004663A6"/>
    <w:rsid w:val="004663C5"/>
    <w:rsid w:val="00466FFC"/>
    <w:rsid w:val="00467A4D"/>
    <w:rsid w:val="00467C07"/>
    <w:rsid w:val="00470015"/>
    <w:rsid w:val="004705E3"/>
    <w:rsid w:val="00470F1C"/>
    <w:rsid w:val="0047196D"/>
    <w:rsid w:val="00471995"/>
    <w:rsid w:val="00471F41"/>
    <w:rsid w:val="00472AB8"/>
    <w:rsid w:val="00472E4A"/>
    <w:rsid w:val="00473FBA"/>
    <w:rsid w:val="00475233"/>
    <w:rsid w:val="004753B6"/>
    <w:rsid w:val="00476018"/>
    <w:rsid w:val="0047737E"/>
    <w:rsid w:val="004773DE"/>
    <w:rsid w:val="004777EE"/>
    <w:rsid w:val="00482140"/>
    <w:rsid w:val="00482453"/>
    <w:rsid w:val="0048261C"/>
    <w:rsid w:val="00482731"/>
    <w:rsid w:val="00482C87"/>
    <w:rsid w:val="004831B9"/>
    <w:rsid w:val="004831CF"/>
    <w:rsid w:val="004838D0"/>
    <w:rsid w:val="0048395C"/>
    <w:rsid w:val="00483A82"/>
    <w:rsid w:val="00483C88"/>
    <w:rsid w:val="00484494"/>
    <w:rsid w:val="0048492B"/>
    <w:rsid w:val="00484D53"/>
    <w:rsid w:val="00484DF8"/>
    <w:rsid w:val="004859DD"/>
    <w:rsid w:val="00485AF3"/>
    <w:rsid w:val="0048609A"/>
    <w:rsid w:val="004863A0"/>
    <w:rsid w:val="00486418"/>
    <w:rsid w:val="00486C33"/>
    <w:rsid w:val="00486EF9"/>
    <w:rsid w:val="004873F4"/>
    <w:rsid w:val="00487DD3"/>
    <w:rsid w:val="00487E36"/>
    <w:rsid w:val="004909FD"/>
    <w:rsid w:val="00491AF0"/>
    <w:rsid w:val="0049237F"/>
    <w:rsid w:val="00492426"/>
    <w:rsid w:val="004927C4"/>
    <w:rsid w:val="00493560"/>
    <w:rsid w:val="00493844"/>
    <w:rsid w:val="00493888"/>
    <w:rsid w:val="00493E8C"/>
    <w:rsid w:val="00494102"/>
    <w:rsid w:val="00495652"/>
    <w:rsid w:val="00495C7E"/>
    <w:rsid w:val="0049685D"/>
    <w:rsid w:val="0049772E"/>
    <w:rsid w:val="00497764"/>
    <w:rsid w:val="00497C1D"/>
    <w:rsid w:val="004A003B"/>
    <w:rsid w:val="004A0D68"/>
    <w:rsid w:val="004A33CA"/>
    <w:rsid w:val="004A3A5C"/>
    <w:rsid w:val="004A680D"/>
    <w:rsid w:val="004A7069"/>
    <w:rsid w:val="004A7A25"/>
    <w:rsid w:val="004A7F58"/>
    <w:rsid w:val="004B061E"/>
    <w:rsid w:val="004B0A74"/>
    <w:rsid w:val="004B0A77"/>
    <w:rsid w:val="004B10D6"/>
    <w:rsid w:val="004B2F08"/>
    <w:rsid w:val="004B2FDB"/>
    <w:rsid w:val="004B45B0"/>
    <w:rsid w:val="004B5B62"/>
    <w:rsid w:val="004B6189"/>
    <w:rsid w:val="004B6A25"/>
    <w:rsid w:val="004B7A76"/>
    <w:rsid w:val="004C002B"/>
    <w:rsid w:val="004C02F8"/>
    <w:rsid w:val="004C0C73"/>
    <w:rsid w:val="004C16E0"/>
    <w:rsid w:val="004C1B7E"/>
    <w:rsid w:val="004C20E8"/>
    <w:rsid w:val="004C36CC"/>
    <w:rsid w:val="004C39FF"/>
    <w:rsid w:val="004C3A26"/>
    <w:rsid w:val="004C51A7"/>
    <w:rsid w:val="004C5CDB"/>
    <w:rsid w:val="004C75D8"/>
    <w:rsid w:val="004D11FC"/>
    <w:rsid w:val="004D2437"/>
    <w:rsid w:val="004D2F5E"/>
    <w:rsid w:val="004D3DDF"/>
    <w:rsid w:val="004D3EF0"/>
    <w:rsid w:val="004D4141"/>
    <w:rsid w:val="004D4670"/>
    <w:rsid w:val="004D473A"/>
    <w:rsid w:val="004D47B9"/>
    <w:rsid w:val="004D569F"/>
    <w:rsid w:val="004D6240"/>
    <w:rsid w:val="004E11DA"/>
    <w:rsid w:val="004E12FB"/>
    <w:rsid w:val="004E164D"/>
    <w:rsid w:val="004E2462"/>
    <w:rsid w:val="004E3846"/>
    <w:rsid w:val="004E4239"/>
    <w:rsid w:val="004E4E19"/>
    <w:rsid w:val="004E575E"/>
    <w:rsid w:val="004E5EE1"/>
    <w:rsid w:val="004E60F8"/>
    <w:rsid w:val="004E61C4"/>
    <w:rsid w:val="004E6AF2"/>
    <w:rsid w:val="004E6CC6"/>
    <w:rsid w:val="004E6D28"/>
    <w:rsid w:val="004E70EB"/>
    <w:rsid w:val="004E7EB2"/>
    <w:rsid w:val="004F0333"/>
    <w:rsid w:val="004F0A56"/>
    <w:rsid w:val="004F0C0F"/>
    <w:rsid w:val="004F0CD8"/>
    <w:rsid w:val="004F274B"/>
    <w:rsid w:val="004F3E2B"/>
    <w:rsid w:val="004F4463"/>
    <w:rsid w:val="004F4999"/>
    <w:rsid w:val="005001FA"/>
    <w:rsid w:val="00500978"/>
    <w:rsid w:val="00500ADA"/>
    <w:rsid w:val="00501BD8"/>
    <w:rsid w:val="00502055"/>
    <w:rsid w:val="00502156"/>
    <w:rsid w:val="0050285A"/>
    <w:rsid w:val="0050302F"/>
    <w:rsid w:val="0050391B"/>
    <w:rsid w:val="00503A7E"/>
    <w:rsid w:val="00503B2F"/>
    <w:rsid w:val="005046DB"/>
    <w:rsid w:val="00504A52"/>
    <w:rsid w:val="00506802"/>
    <w:rsid w:val="005073E2"/>
    <w:rsid w:val="005101F3"/>
    <w:rsid w:val="0051069A"/>
    <w:rsid w:val="00510C75"/>
    <w:rsid w:val="00510E59"/>
    <w:rsid w:val="00512374"/>
    <w:rsid w:val="00512AD4"/>
    <w:rsid w:val="00512DBE"/>
    <w:rsid w:val="0051326B"/>
    <w:rsid w:val="005143F1"/>
    <w:rsid w:val="0051498D"/>
    <w:rsid w:val="00514CE8"/>
    <w:rsid w:val="00516578"/>
    <w:rsid w:val="00516DC4"/>
    <w:rsid w:val="005172BB"/>
    <w:rsid w:val="00520350"/>
    <w:rsid w:val="005207D2"/>
    <w:rsid w:val="00520C71"/>
    <w:rsid w:val="0052168E"/>
    <w:rsid w:val="00521D00"/>
    <w:rsid w:val="005220FF"/>
    <w:rsid w:val="00522BA2"/>
    <w:rsid w:val="00522E81"/>
    <w:rsid w:val="00522FF5"/>
    <w:rsid w:val="00523370"/>
    <w:rsid w:val="00523B60"/>
    <w:rsid w:val="0052472A"/>
    <w:rsid w:val="00525496"/>
    <w:rsid w:val="005262AD"/>
    <w:rsid w:val="00527BD3"/>
    <w:rsid w:val="00527C06"/>
    <w:rsid w:val="00530DEC"/>
    <w:rsid w:val="00530ED3"/>
    <w:rsid w:val="0053211F"/>
    <w:rsid w:val="00532818"/>
    <w:rsid w:val="00532A62"/>
    <w:rsid w:val="0053348A"/>
    <w:rsid w:val="00533A5D"/>
    <w:rsid w:val="0053429F"/>
    <w:rsid w:val="0053541A"/>
    <w:rsid w:val="005358C4"/>
    <w:rsid w:val="00535C12"/>
    <w:rsid w:val="0053671E"/>
    <w:rsid w:val="0053685C"/>
    <w:rsid w:val="0053698E"/>
    <w:rsid w:val="00536FF9"/>
    <w:rsid w:val="00537CD8"/>
    <w:rsid w:val="00540553"/>
    <w:rsid w:val="005407D1"/>
    <w:rsid w:val="00540D65"/>
    <w:rsid w:val="00541F12"/>
    <w:rsid w:val="00542562"/>
    <w:rsid w:val="00542788"/>
    <w:rsid w:val="00542A35"/>
    <w:rsid w:val="00542C90"/>
    <w:rsid w:val="005434AC"/>
    <w:rsid w:val="00543708"/>
    <w:rsid w:val="00544AB4"/>
    <w:rsid w:val="00545633"/>
    <w:rsid w:val="00545C7A"/>
    <w:rsid w:val="00546258"/>
    <w:rsid w:val="00546837"/>
    <w:rsid w:val="00546CC8"/>
    <w:rsid w:val="00550626"/>
    <w:rsid w:val="005516DD"/>
    <w:rsid w:val="00552F34"/>
    <w:rsid w:val="00552FE1"/>
    <w:rsid w:val="00553214"/>
    <w:rsid w:val="0055323C"/>
    <w:rsid w:val="00553658"/>
    <w:rsid w:val="00553CCF"/>
    <w:rsid w:val="00554BF6"/>
    <w:rsid w:val="00555407"/>
    <w:rsid w:val="0055660F"/>
    <w:rsid w:val="00556E00"/>
    <w:rsid w:val="0055721B"/>
    <w:rsid w:val="005573F0"/>
    <w:rsid w:val="0055784F"/>
    <w:rsid w:val="00557C54"/>
    <w:rsid w:val="005617D3"/>
    <w:rsid w:val="00561FCD"/>
    <w:rsid w:val="005628C8"/>
    <w:rsid w:val="00562955"/>
    <w:rsid w:val="00562CAB"/>
    <w:rsid w:val="00564529"/>
    <w:rsid w:val="00564F58"/>
    <w:rsid w:val="005676DF"/>
    <w:rsid w:val="00567C47"/>
    <w:rsid w:val="00570F29"/>
    <w:rsid w:val="00571754"/>
    <w:rsid w:val="00571C50"/>
    <w:rsid w:val="00571C73"/>
    <w:rsid w:val="00573D38"/>
    <w:rsid w:val="005749F2"/>
    <w:rsid w:val="00574DEA"/>
    <w:rsid w:val="00574F91"/>
    <w:rsid w:val="00574FB2"/>
    <w:rsid w:val="00575E95"/>
    <w:rsid w:val="00577F12"/>
    <w:rsid w:val="00580A3C"/>
    <w:rsid w:val="00580A5B"/>
    <w:rsid w:val="005831D6"/>
    <w:rsid w:val="005841FC"/>
    <w:rsid w:val="00584685"/>
    <w:rsid w:val="00585468"/>
    <w:rsid w:val="005854AE"/>
    <w:rsid w:val="005859B6"/>
    <w:rsid w:val="00585A0E"/>
    <w:rsid w:val="00585E2D"/>
    <w:rsid w:val="00586A64"/>
    <w:rsid w:val="00586FC5"/>
    <w:rsid w:val="005873D2"/>
    <w:rsid w:val="00587572"/>
    <w:rsid w:val="00587D55"/>
    <w:rsid w:val="005915D0"/>
    <w:rsid w:val="005932AE"/>
    <w:rsid w:val="005933B6"/>
    <w:rsid w:val="005940AD"/>
    <w:rsid w:val="005948F8"/>
    <w:rsid w:val="005949CC"/>
    <w:rsid w:val="005968C2"/>
    <w:rsid w:val="00596B52"/>
    <w:rsid w:val="00596B9E"/>
    <w:rsid w:val="00597190"/>
    <w:rsid w:val="00597370"/>
    <w:rsid w:val="00597EFE"/>
    <w:rsid w:val="005A04A8"/>
    <w:rsid w:val="005A1EE4"/>
    <w:rsid w:val="005A201A"/>
    <w:rsid w:val="005A21FE"/>
    <w:rsid w:val="005A24B5"/>
    <w:rsid w:val="005A2C3E"/>
    <w:rsid w:val="005A36C7"/>
    <w:rsid w:val="005A5A8F"/>
    <w:rsid w:val="005A5BDC"/>
    <w:rsid w:val="005A60BE"/>
    <w:rsid w:val="005B0A6D"/>
    <w:rsid w:val="005B0E45"/>
    <w:rsid w:val="005B19B2"/>
    <w:rsid w:val="005B1FFA"/>
    <w:rsid w:val="005B2408"/>
    <w:rsid w:val="005B26C2"/>
    <w:rsid w:val="005B2DB1"/>
    <w:rsid w:val="005B32D9"/>
    <w:rsid w:val="005B3357"/>
    <w:rsid w:val="005B35B5"/>
    <w:rsid w:val="005B3649"/>
    <w:rsid w:val="005B36D0"/>
    <w:rsid w:val="005B3899"/>
    <w:rsid w:val="005B404A"/>
    <w:rsid w:val="005B607A"/>
    <w:rsid w:val="005B637D"/>
    <w:rsid w:val="005B677E"/>
    <w:rsid w:val="005B78F8"/>
    <w:rsid w:val="005C0205"/>
    <w:rsid w:val="005C0763"/>
    <w:rsid w:val="005C0D07"/>
    <w:rsid w:val="005C16C0"/>
    <w:rsid w:val="005C1846"/>
    <w:rsid w:val="005C25A4"/>
    <w:rsid w:val="005C25EB"/>
    <w:rsid w:val="005C2F0A"/>
    <w:rsid w:val="005C3A35"/>
    <w:rsid w:val="005C3FCE"/>
    <w:rsid w:val="005C4089"/>
    <w:rsid w:val="005C51C0"/>
    <w:rsid w:val="005C5597"/>
    <w:rsid w:val="005C5A7A"/>
    <w:rsid w:val="005C5D32"/>
    <w:rsid w:val="005C6131"/>
    <w:rsid w:val="005C679B"/>
    <w:rsid w:val="005C68B5"/>
    <w:rsid w:val="005D045F"/>
    <w:rsid w:val="005D0FEE"/>
    <w:rsid w:val="005D18A2"/>
    <w:rsid w:val="005D1A76"/>
    <w:rsid w:val="005D1B7A"/>
    <w:rsid w:val="005D233F"/>
    <w:rsid w:val="005D2646"/>
    <w:rsid w:val="005D26FE"/>
    <w:rsid w:val="005D3B50"/>
    <w:rsid w:val="005D4630"/>
    <w:rsid w:val="005D4810"/>
    <w:rsid w:val="005D4D00"/>
    <w:rsid w:val="005D51C2"/>
    <w:rsid w:val="005D5CF6"/>
    <w:rsid w:val="005D620E"/>
    <w:rsid w:val="005D714F"/>
    <w:rsid w:val="005E01C3"/>
    <w:rsid w:val="005E0C10"/>
    <w:rsid w:val="005E13F4"/>
    <w:rsid w:val="005E1F98"/>
    <w:rsid w:val="005E211F"/>
    <w:rsid w:val="005E2707"/>
    <w:rsid w:val="005E2E73"/>
    <w:rsid w:val="005E3457"/>
    <w:rsid w:val="005E4128"/>
    <w:rsid w:val="005E4172"/>
    <w:rsid w:val="005E4EF9"/>
    <w:rsid w:val="005E51D3"/>
    <w:rsid w:val="005E5208"/>
    <w:rsid w:val="005E54A4"/>
    <w:rsid w:val="005E56A4"/>
    <w:rsid w:val="005E590F"/>
    <w:rsid w:val="005E62BE"/>
    <w:rsid w:val="005E6F31"/>
    <w:rsid w:val="005E72C1"/>
    <w:rsid w:val="005F0C3C"/>
    <w:rsid w:val="005F10FA"/>
    <w:rsid w:val="005F139F"/>
    <w:rsid w:val="005F1596"/>
    <w:rsid w:val="005F22FA"/>
    <w:rsid w:val="005F22FC"/>
    <w:rsid w:val="005F2305"/>
    <w:rsid w:val="005F293A"/>
    <w:rsid w:val="005F2CEF"/>
    <w:rsid w:val="005F3541"/>
    <w:rsid w:val="005F3D5B"/>
    <w:rsid w:val="005F3FFA"/>
    <w:rsid w:val="005F435D"/>
    <w:rsid w:val="005F4403"/>
    <w:rsid w:val="005F44F9"/>
    <w:rsid w:val="005F4F92"/>
    <w:rsid w:val="005F57A2"/>
    <w:rsid w:val="005F6317"/>
    <w:rsid w:val="005F6AA5"/>
    <w:rsid w:val="005F6BD0"/>
    <w:rsid w:val="005F72D9"/>
    <w:rsid w:val="005F7D36"/>
    <w:rsid w:val="00600814"/>
    <w:rsid w:val="006009BE"/>
    <w:rsid w:val="00600BEF"/>
    <w:rsid w:val="00600D8C"/>
    <w:rsid w:val="00600FDF"/>
    <w:rsid w:val="0060123B"/>
    <w:rsid w:val="006014DA"/>
    <w:rsid w:val="006018E0"/>
    <w:rsid w:val="00602F0D"/>
    <w:rsid w:val="00602FB0"/>
    <w:rsid w:val="00603660"/>
    <w:rsid w:val="006040BE"/>
    <w:rsid w:val="006045B3"/>
    <w:rsid w:val="006046E2"/>
    <w:rsid w:val="006047B3"/>
    <w:rsid w:val="00604BD9"/>
    <w:rsid w:val="006056C5"/>
    <w:rsid w:val="006061B8"/>
    <w:rsid w:val="00606F7F"/>
    <w:rsid w:val="00607135"/>
    <w:rsid w:val="00607450"/>
    <w:rsid w:val="00607A65"/>
    <w:rsid w:val="00610208"/>
    <w:rsid w:val="00610220"/>
    <w:rsid w:val="0061088C"/>
    <w:rsid w:val="00610A81"/>
    <w:rsid w:val="00611861"/>
    <w:rsid w:val="006118DF"/>
    <w:rsid w:val="00611B64"/>
    <w:rsid w:val="0061216D"/>
    <w:rsid w:val="00613098"/>
    <w:rsid w:val="00613EC2"/>
    <w:rsid w:val="0061594B"/>
    <w:rsid w:val="0061619A"/>
    <w:rsid w:val="00616B7A"/>
    <w:rsid w:val="00616FE9"/>
    <w:rsid w:val="006174B0"/>
    <w:rsid w:val="006174BA"/>
    <w:rsid w:val="006176A0"/>
    <w:rsid w:val="00621487"/>
    <w:rsid w:val="0062182E"/>
    <w:rsid w:val="00621A02"/>
    <w:rsid w:val="00622AA4"/>
    <w:rsid w:val="00622C1A"/>
    <w:rsid w:val="0062316C"/>
    <w:rsid w:val="00623638"/>
    <w:rsid w:val="00623B97"/>
    <w:rsid w:val="00623CA5"/>
    <w:rsid w:val="00625947"/>
    <w:rsid w:val="006264A3"/>
    <w:rsid w:val="00626CEA"/>
    <w:rsid w:val="00627219"/>
    <w:rsid w:val="006273AF"/>
    <w:rsid w:val="006305B8"/>
    <w:rsid w:val="006317B3"/>
    <w:rsid w:val="00632E78"/>
    <w:rsid w:val="0063479A"/>
    <w:rsid w:val="00634B58"/>
    <w:rsid w:val="006353E8"/>
    <w:rsid w:val="0063563F"/>
    <w:rsid w:val="006357A1"/>
    <w:rsid w:val="00636BAC"/>
    <w:rsid w:val="0063746A"/>
    <w:rsid w:val="00637D2F"/>
    <w:rsid w:val="00640CBC"/>
    <w:rsid w:val="00641A60"/>
    <w:rsid w:val="00641F4B"/>
    <w:rsid w:val="00642CA7"/>
    <w:rsid w:val="00642FCA"/>
    <w:rsid w:val="00643225"/>
    <w:rsid w:val="006433D5"/>
    <w:rsid w:val="00643DD8"/>
    <w:rsid w:val="00644219"/>
    <w:rsid w:val="00644BED"/>
    <w:rsid w:val="00644D5A"/>
    <w:rsid w:val="006451B2"/>
    <w:rsid w:val="006460EB"/>
    <w:rsid w:val="00646C13"/>
    <w:rsid w:val="00647D59"/>
    <w:rsid w:val="00647E82"/>
    <w:rsid w:val="00650769"/>
    <w:rsid w:val="006514EB"/>
    <w:rsid w:val="006517CF"/>
    <w:rsid w:val="00651871"/>
    <w:rsid w:val="0065240E"/>
    <w:rsid w:val="00652652"/>
    <w:rsid w:val="00652AF0"/>
    <w:rsid w:val="00653179"/>
    <w:rsid w:val="006536E3"/>
    <w:rsid w:val="00653FF6"/>
    <w:rsid w:val="00654A9D"/>
    <w:rsid w:val="00655F83"/>
    <w:rsid w:val="00656007"/>
    <w:rsid w:val="006568A4"/>
    <w:rsid w:val="00656F4B"/>
    <w:rsid w:val="00660EF1"/>
    <w:rsid w:val="00661B43"/>
    <w:rsid w:val="00662C74"/>
    <w:rsid w:val="00662FB0"/>
    <w:rsid w:val="00663960"/>
    <w:rsid w:val="0066613F"/>
    <w:rsid w:val="00666BEB"/>
    <w:rsid w:val="00667B14"/>
    <w:rsid w:val="00667C52"/>
    <w:rsid w:val="00667DB9"/>
    <w:rsid w:val="00667E45"/>
    <w:rsid w:val="00670197"/>
    <w:rsid w:val="00670324"/>
    <w:rsid w:val="006703C2"/>
    <w:rsid w:val="00671473"/>
    <w:rsid w:val="00671FD6"/>
    <w:rsid w:val="00672647"/>
    <w:rsid w:val="006742D3"/>
    <w:rsid w:val="0067499E"/>
    <w:rsid w:val="00675B35"/>
    <w:rsid w:val="00675C4C"/>
    <w:rsid w:val="00675CE3"/>
    <w:rsid w:val="006762A0"/>
    <w:rsid w:val="006762C4"/>
    <w:rsid w:val="0067670D"/>
    <w:rsid w:val="00676B46"/>
    <w:rsid w:val="00677925"/>
    <w:rsid w:val="0068101D"/>
    <w:rsid w:val="00681199"/>
    <w:rsid w:val="006817B3"/>
    <w:rsid w:val="006828A8"/>
    <w:rsid w:val="00682BA5"/>
    <w:rsid w:val="00682D50"/>
    <w:rsid w:val="0068357A"/>
    <w:rsid w:val="00683CB9"/>
    <w:rsid w:val="0068456E"/>
    <w:rsid w:val="006857F5"/>
    <w:rsid w:val="00685A18"/>
    <w:rsid w:val="00686444"/>
    <w:rsid w:val="0068646E"/>
    <w:rsid w:val="00687483"/>
    <w:rsid w:val="0069140A"/>
    <w:rsid w:val="00691770"/>
    <w:rsid w:val="006921F8"/>
    <w:rsid w:val="00692A7F"/>
    <w:rsid w:val="00693104"/>
    <w:rsid w:val="0069436E"/>
    <w:rsid w:val="006963F3"/>
    <w:rsid w:val="0069641F"/>
    <w:rsid w:val="00696A8D"/>
    <w:rsid w:val="006972F7"/>
    <w:rsid w:val="00697644"/>
    <w:rsid w:val="00697E5B"/>
    <w:rsid w:val="006A03C6"/>
    <w:rsid w:val="006A0C0F"/>
    <w:rsid w:val="006A22C6"/>
    <w:rsid w:val="006A416E"/>
    <w:rsid w:val="006A4B7D"/>
    <w:rsid w:val="006A60C7"/>
    <w:rsid w:val="006A62CE"/>
    <w:rsid w:val="006A6521"/>
    <w:rsid w:val="006A66E8"/>
    <w:rsid w:val="006A7662"/>
    <w:rsid w:val="006A7DB1"/>
    <w:rsid w:val="006B00B0"/>
    <w:rsid w:val="006B0299"/>
    <w:rsid w:val="006B03B0"/>
    <w:rsid w:val="006B14A5"/>
    <w:rsid w:val="006B2F93"/>
    <w:rsid w:val="006B3434"/>
    <w:rsid w:val="006B34E3"/>
    <w:rsid w:val="006B37CF"/>
    <w:rsid w:val="006B54C5"/>
    <w:rsid w:val="006B57E7"/>
    <w:rsid w:val="006B5EDF"/>
    <w:rsid w:val="006B5FC1"/>
    <w:rsid w:val="006B646C"/>
    <w:rsid w:val="006B69E0"/>
    <w:rsid w:val="006B6D28"/>
    <w:rsid w:val="006B7431"/>
    <w:rsid w:val="006C0526"/>
    <w:rsid w:val="006C14CC"/>
    <w:rsid w:val="006C3300"/>
    <w:rsid w:val="006C37E8"/>
    <w:rsid w:val="006C4339"/>
    <w:rsid w:val="006C4A04"/>
    <w:rsid w:val="006C4DCA"/>
    <w:rsid w:val="006C5EE3"/>
    <w:rsid w:val="006C63FB"/>
    <w:rsid w:val="006C6A0F"/>
    <w:rsid w:val="006C6CED"/>
    <w:rsid w:val="006C6FF5"/>
    <w:rsid w:val="006C7A90"/>
    <w:rsid w:val="006D08FB"/>
    <w:rsid w:val="006D1378"/>
    <w:rsid w:val="006D1AF3"/>
    <w:rsid w:val="006D3986"/>
    <w:rsid w:val="006D4849"/>
    <w:rsid w:val="006D4C2B"/>
    <w:rsid w:val="006D50DC"/>
    <w:rsid w:val="006D5809"/>
    <w:rsid w:val="006D5832"/>
    <w:rsid w:val="006D5877"/>
    <w:rsid w:val="006D59A2"/>
    <w:rsid w:val="006D5E8E"/>
    <w:rsid w:val="006D6029"/>
    <w:rsid w:val="006D6099"/>
    <w:rsid w:val="006D6804"/>
    <w:rsid w:val="006D7738"/>
    <w:rsid w:val="006E0E90"/>
    <w:rsid w:val="006E1525"/>
    <w:rsid w:val="006E1CDF"/>
    <w:rsid w:val="006E1ECC"/>
    <w:rsid w:val="006E20AA"/>
    <w:rsid w:val="006E20FE"/>
    <w:rsid w:val="006E2737"/>
    <w:rsid w:val="006E31E2"/>
    <w:rsid w:val="006E35AD"/>
    <w:rsid w:val="006E3FD7"/>
    <w:rsid w:val="006E3FDC"/>
    <w:rsid w:val="006E4A59"/>
    <w:rsid w:val="006E5E07"/>
    <w:rsid w:val="006E60E0"/>
    <w:rsid w:val="006E7C36"/>
    <w:rsid w:val="006F08D0"/>
    <w:rsid w:val="006F08F1"/>
    <w:rsid w:val="006F0F90"/>
    <w:rsid w:val="006F140C"/>
    <w:rsid w:val="006F147A"/>
    <w:rsid w:val="006F1C2E"/>
    <w:rsid w:val="006F297D"/>
    <w:rsid w:val="006F2B65"/>
    <w:rsid w:val="006F33D6"/>
    <w:rsid w:val="006F3784"/>
    <w:rsid w:val="006F3FDD"/>
    <w:rsid w:val="006F49A5"/>
    <w:rsid w:val="006F4BF1"/>
    <w:rsid w:val="006F5185"/>
    <w:rsid w:val="006F5EDD"/>
    <w:rsid w:val="006F602F"/>
    <w:rsid w:val="006F7BE7"/>
    <w:rsid w:val="006F7FE4"/>
    <w:rsid w:val="007006C4"/>
    <w:rsid w:val="00701040"/>
    <w:rsid w:val="007018FD"/>
    <w:rsid w:val="00702198"/>
    <w:rsid w:val="00702717"/>
    <w:rsid w:val="00703159"/>
    <w:rsid w:val="0070413E"/>
    <w:rsid w:val="00704998"/>
    <w:rsid w:val="00704A6E"/>
    <w:rsid w:val="007050E0"/>
    <w:rsid w:val="007055D3"/>
    <w:rsid w:val="0070591B"/>
    <w:rsid w:val="0070655A"/>
    <w:rsid w:val="007067DC"/>
    <w:rsid w:val="0070713B"/>
    <w:rsid w:val="00707C5D"/>
    <w:rsid w:val="00710631"/>
    <w:rsid w:val="00712944"/>
    <w:rsid w:val="00712EC6"/>
    <w:rsid w:val="00712F7F"/>
    <w:rsid w:val="007136C4"/>
    <w:rsid w:val="00714532"/>
    <w:rsid w:val="007148E0"/>
    <w:rsid w:val="00714E9C"/>
    <w:rsid w:val="00715218"/>
    <w:rsid w:val="00716BC7"/>
    <w:rsid w:val="007171DD"/>
    <w:rsid w:val="007200F8"/>
    <w:rsid w:val="00720942"/>
    <w:rsid w:val="0072189C"/>
    <w:rsid w:val="007219D4"/>
    <w:rsid w:val="00722017"/>
    <w:rsid w:val="007225F1"/>
    <w:rsid w:val="007226AF"/>
    <w:rsid w:val="00723E99"/>
    <w:rsid w:val="0072439D"/>
    <w:rsid w:val="00725483"/>
    <w:rsid w:val="00725883"/>
    <w:rsid w:val="00725D01"/>
    <w:rsid w:val="00726170"/>
    <w:rsid w:val="00726C67"/>
    <w:rsid w:val="00726DA2"/>
    <w:rsid w:val="00727095"/>
    <w:rsid w:val="007270DB"/>
    <w:rsid w:val="00727AE6"/>
    <w:rsid w:val="00727CD5"/>
    <w:rsid w:val="00727E7F"/>
    <w:rsid w:val="00730371"/>
    <w:rsid w:val="00730BB6"/>
    <w:rsid w:val="00730DC7"/>
    <w:rsid w:val="00730DD8"/>
    <w:rsid w:val="00730E4D"/>
    <w:rsid w:val="007314BF"/>
    <w:rsid w:val="007315AD"/>
    <w:rsid w:val="0073334A"/>
    <w:rsid w:val="00733E39"/>
    <w:rsid w:val="00734744"/>
    <w:rsid w:val="00734ED6"/>
    <w:rsid w:val="00735FD4"/>
    <w:rsid w:val="007370EE"/>
    <w:rsid w:val="00737898"/>
    <w:rsid w:val="00740BB6"/>
    <w:rsid w:val="00742DCA"/>
    <w:rsid w:val="00744203"/>
    <w:rsid w:val="00744D5F"/>
    <w:rsid w:val="007453D6"/>
    <w:rsid w:val="0074588B"/>
    <w:rsid w:val="007470EA"/>
    <w:rsid w:val="00750278"/>
    <w:rsid w:val="00750392"/>
    <w:rsid w:val="00750746"/>
    <w:rsid w:val="00751344"/>
    <w:rsid w:val="007522D9"/>
    <w:rsid w:val="00752AAC"/>
    <w:rsid w:val="00753222"/>
    <w:rsid w:val="00753345"/>
    <w:rsid w:val="00753E38"/>
    <w:rsid w:val="00753E4B"/>
    <w:rsid w:val="00754A3E"/>
    <w:rsid w:val="00755090"/>
    <w:rsid w:val="00755D4A"/>
    <w:rsid w:val="007560BD"/>
    <w:rsid w:val="007566B4"/>
    <w:rsid w:val="007576C9"/>
    <w:rsid w:val="00757D32"/>
    <w:rsid w:val="00760397"/>
    <w:rsid w:val="007607DE"/>
    <w:rsid w:val="00760921"/>
    <w:rsid w:val="00760A1C"/>
    <w:rsid w:val="007614D2"/>
    <w:rsid w:val="00761A95"/>
    <w:rsid w:val="00761D3D"/>
    <w:rsid w:val="0076283C"/>
    <w:rsid w:val="007629BE"/>
    <w:rsid w:val="00762CDB"/>
    <w:rsid w:val="0076338F"/>
    <w:rsid w:val="00763F2F"/>
    <w:rsid w:val="007641A7"/>
    <w:rsid w:val="00764C35"/>
    <w:rsid w:val="00764FB2"/>
    <w:rsid w:val="00766061"/>
    <w:rsid w:val="007661F7"/>
    <w:rsid w:val="007662AD"/>
    <w:rsid w:val="007664CD"/>
    <w:rsid w:val="0076697C"/>
    <w:rsid w:val="00766D6A"/>
    <w:rsid w:val="00767375"/>
    <w:rsid w:val="0077108C"/>
    <w:rsid w:val="007717DA"/>
    <w:rsid w:val="007718B3"/>
    <w:rsid w:val="007722AA"/>
    <w:rsid w:val="00772C74"/>
    <w:rsid w:val="0077304E"/>
    <w:rsid w:val="0077369F"/>
    <w:rsid w:val="00773CB5"/>
    <w:rsid w:val="00773E92"/>
    <w:rsid w:val="0077416B"/>
    <w:rsid w:val="007766AE"/>
    <w:rsid w:val="00776B00"/>
    <w:rsid w:val="00777158"/>
    <w:rsid w:val="00777252"/>
    <w:rsid w:val="0077758C"/>
    <w:rsid w:val="00777CD0"/>
    <w:rsid w:val="00780D4C"/>
    <w:rsid w:val="00781451"/>
    <w:rsid w:val="0078179B"/>
    <w:rsid w:val="00781E7A"/>
    <w:rsid w:val="00782E8D"/>
    <w:rsid w:val="00783989"/>
    <w:rsid w:val="00784F8D"/>
    <w:rsid w:val="007856EA"/>
    <w:rsid w:val="00785804"/>
    <w:rsid w:val="00785884"/>
    <w:rsid w:val="00785A32"/>
    <w:rsid w:val="00785BF3"/>
    <w:rsid w:val="00786232"/>
    <w:rsid w:val="00786861"/>
    <w:rsid w:val="00786CD1"/>
    <w:rsid w:val="00786DF4"/>
    <w:rsid w:val="00787CB5"/>
    <w:rsid w:val="007902A4"/>
    <w:rsid w:val="007902FA"/>
    <w:rsid w:val="00790CC3"/>
    <w:rsid w:val="0079180B"/>
    <w:rsid w:val="00792554"/>
    <w:rsid w:val="00792CDA"/>
    <w:rsid w:val="00793D9D"/>
    <w:rsid w:val="0079497A"/>
    <w:rsid w:val="00794C5A"/>
    <w:rsid w:val="00795209"/>
    <w:rsid w:val="00795708"/>
    <w:rsid w:val="00795E15"/>
    <w:rsid w:val="00795E45"/>
    <w:rsid w:val="0079627C"/>
    <w:rsid w:val="00796DB1"/>
    <w:rsid w:val="007971D5"/>
    <w:rsid w:val="007A0254"/>
    <w:rsid w:val="007A0276"/>
    <w:rsid w:val="007A0977"/>
    <w:rsid w:val="007A0C24"/>
    <w:rsid w:val="007A1661"/>
    <w:rsid w:val="007A28B9"/>
    <w:rsid w:val="007A2F7D"/>
    <w:rsid w:val="007A3013"/>
    <w:rsid w:val="007A3446"/>
    <w:rsid w:val="007A35BC"/>
    <w:rsid w:val="007A44DD"/>
    <w:rsid w:val="007A5B2A"/>
    <w:rsid w:val="007A5F6B"/>
    <w:rsid w:val="007A65BC"/>
    <w:rsid w:val="007A6BA0"/>
    <w:rsid w:val="007A75B0"/>
    <w:rsid w:val="007A7EB9"/>
    <w:rsid w:val="007B0FA2"/>
    <w:rsid w:val="007B1065"/>
    <w:rsid w:val="007B159A"/>
    <w:rsid w:val="007B2429"/>
    <w:rsid w:val="007B3597"/>
    <w:rsid w:val="007B37E7"/>
    <w:rsid w:val="007B573B"/>
    <w:rsid w:val="007B5B53"/>
    <w:rsid w:val="007B6048"/>
    <w:rsid w:val="007B6155"/>
    <w:rsid w:val="007B62CA"/>
    <w:rsid w:val="007B63FC"/>
    <w:rsid w:val="007B72B2"/>
    <w:rsid w:val="007B79CF"/>
    <w:rsid w:val="007B7B3E"/>
    <w:rsid w:val="007C0BBD"/>
    <w:rsid w:val="007C15F0"/>
    <w:rsid w:val="007C2532"/>
    <w:rsid w:val="007C2A99"/>
    <w:rsid w:val="007C2AD6"/>
    <w:rsid w:val="007C2D7B"/>
    <w:rsid w:val="007C32A6"/>
    <w:rsid w:val="007C651E"/>
    <w:rsid w:val="007C6BBF"/>
    <w:rsid w:val="007C79FC"/>
    <w:rsid w:val="007C7B11"/>
    <w:rsid w:val="007D0238"/>
    <w:rsid w:val="007D1110"/>
    <w:rsid w:val="007D15C0"/>
    <w:rsid w:val="007D318D"/>
    <w:rsid w:val="007D415B"/>
    <w:rsid w:val="007D4372"/>
    <w:rsid w:val="007D4797"/>
    <w:rsid w:val="007D4AAC"/>
    <w:rsid w:val="007D5614"/>
    <w:rsid w:val="007D5F86"/>
    <w:rsid w:val="007D6904"/>
    <w:rsid w:val="007E05D4"/>
    <w:rsid w:val="007E0813"/>
    <w:rsid w:val="007E0B04"/>
    <w:rsid w:val="007E24CA"/>
    <w:rsid w:val="007E2DF4"/>
    <w:rsid w:val="007E301B"/>
    <w:rsid w:val="007E3FEA"/>
    <w:rsid w:val="007E404C"/>
    <w:rsid w:val="007E5B14"/>
    <w:rsid w:val="007E5D77"/>
    <w:rsid w:val="007E5E93"/>
    <w:rsid w:val="007E6091"/>
    <w:rsid w:val="007E62A5"/>
    <w:rsid w:val="007E6BB3"/>
    <w:rsid w:val="007E6D65"/>
    <w:rsid w:val="007F0D48"/>
    <w:rsid w:val="007F0F49"/>
    <w:rsid w:val="007F0F4F"/>
    <w:rsid w:val="007F11F5"/>
    <w:rsid w:val="007F131C"/>
    <w:rsid w:val="007F19BB"/>
    <w:rsid w:val="007F1EEA"/>
    <w:rsid w:val="007F23B1"/>
    <w:rsid w:val="007F31EB"/>
    <w:rsid w:val="007F3C65"/>
    <w:rsid w:val="007F4325"/>
    <w:rsid w:val="007F4B21"/>
    <w:rsid w:val="007F5096"/>
    <w:rsid w:val="007F558B"/>
    <w:rsid w:val="007F570C"/>
    <w:rsid w:val="007F6056"/>
    <w:rsid w:val="007F6614"/>
    <w:rsid w:val="007F6B86"/>
    <w:rsid w:val="007F7BFA"/>
    <w:rsid w:val="007F7C02"/>
    <w:rsid w:val="007F7EE6"/>
    <w:rsid w:val="00802236"/>
    <w:rsid w:val="008039F4"/>
    <w:rsid w:val="00803C9B"/>
    <w:rsid w:val="00804719"/>
    <w:rsid w:val="00805A61"/>
    <w:rsid w:val="00805B65"/>
    <w:rsid w:val="00806676"/>
    <w:rsid w:val="00806EDE"/>
    <w:rsid w:val="00807D08"/>
    <w:rsid w:val="00807EC9"/>
    <w:rsid w:val="00810586"/>
    <w:rsid w:val="00810BE0"/>
    <w:rsid w:val="00810C47"/>
    <w:rsid w:val="00811A93"/>
    <w:rsid w:val="00812035"/>
    <w:rsid w:val="0081275F"/>
    <w:rsid w:val="00814D08"/>
    <w:rsid w:val="00814EB8"/>
    <w:rsid w:val="00815083"/>
    <w:rsid w:val="00816297"/>
    <w:rsid w:val="00816AB9"/>
    <w:rsid w:val="00820133"/>
    <w:rsid w:val="008205D6"/>
    <w:rsid w:val="008209E4"/>
    <w:rsid w:val="008217E5"/>
    <w:rsid w:val="00821BDC"/>
    <w:rsid w:val="00823106"/>
    <w:rsid w:val="00823A79"/>
    <w:rsid w:val="0082425C"/>
    <w:rsid w:val="0082648A"/>
    <w:rsid w:val="008270AE"/>
    <w:rsid w:val="008271D9"/>
    <w:rsid w:val="0082754B"/>
    <w:rsid w:val="00830132"/>
    <w:rsid w:val="00830187"/>
    <w:rsid w:val="00830556"/>
    <w:rsid w:val="00830A11"/>
    <w:rsid w:val="00830DE8"/>
    <w:rsid w:val="00831589"/>
    <w:rsid w:val="0083225A"/>
    <w:rsid w:val="00833ABD"/>
    <w:rsid w:val="0083416D"/>
    <w:rsid w:val="008357C6"/>
    <w:rsid w:val="00835CE8"/>
    <w:rsid w:val="00835ED8"/>
    <w:rsid w:val="00836728"/>
    <w:rsid w:val="00836F3C"/>
    <w:rsid w:val="00837573"/>
    <w:rsid w:val="00837739"/>
    <w:rsid w:val="00837D5E"/>
    <w:rsid w:val="008408AB"/>
    <w:rsid w:val="00840D9A"/>
    <w:rsid w:val="008412A9"/>
    <w:rsid w:val="00841C32"/>
    <w:rsid w:val="00841D4B"/>
    <w:rsid w:val="008424B7"/>
    <w:rsid w:val="008429C6"/>
    <w:rsid w:val="00842BB0"/>
    <w:rsid w:val="00843BAB"/>
    <w:rsid w:val="00843E49"/>
    <w:rsid w:val="00844A09"/>
    <w:rsid w:val="00844A1B"/>
    <w:rsid w:val="00845500"/>
    <w:rsid w:val="008457E5"/>
    <w:rsid w:val="00845957"/>
    <w:rsid w:val="00845C55"/>
    <w:rsid w:val="0084610A"/>
    <w:rsid w:val="008462E9"/>
    <w:rsid w:val="00846321"/>
    <w:rsid w:val="00846A50"/>
    <w:rsid w:val="00846B64"/>
    <w:rsid w:val="00846BC8"/>
    <w:rsid w:val="008473B9"/>
    <w:rsid w:val="0084749F"/>
    <w:rsid w:val="00847FDE"/>
    <w:rsid w:val="00850E91"/>
    <w:rsid w:val="0085183E"/>
    <w:rsid w:val="008520B3"/>
    <w:rsid w:val="008528E1"/>
    <w:rsid w:val="00853001"/>
    <w:rsid w:val="008538E8"/>
    <w:rsid w:val="008538EC"/>
    <w:rsid w:val="00853FE3"/>
    <w:rsid w:val="00854740"/>
    <w:rsid w:val="00854BA6"/>
    <w:rsid w:val="0085527A"/>
    <w:rsid w:val="00855628"/>
    <w:rsid w:val="00855A88"/>
    <w:rsid w:val="00855E03"/>
    <w:rsid w:val="0085637F"/>
    <w:rsid w:val="00856904"/>
    <w:rsid w:val="00857059"/>
    <w:rsid w:val="0085744A"/>
    <w:rsid w:val="008575D7"/>
    <w:rsid w:val="00857A91"/>
    <w:rsid w:val="00860A38"/>
    <w:rsid w:val="00860EE3"/>
    <w:rsid w:val="008610B7"/>
    <w:rsid w:val="0086287E"/>
    <w:rsid w:val="00862EC4"/>
    <w:rsid w:val="00863150"/>
    <w:rsid w:val="00864510"/>
    <w:rsid w:val="0086487C"/>
    <w:rsid w:val="00864F9E"/>
    <w:rsid w:val="008654D1"/>
    <w:rsid w:val="008656F8"/>
    <w:rsid w:val="008657A0"/>
    <w:rsid w:val="008657E8"/>
    <w:rsid w:val="00865BE5"/>
    <w:rsid w:val="0086641B"/>
    <w:rsid w:val="0086706C"/>
    <w:rsid w:val="008679C7"/>
    <w:rsid w:val="00867D64"/>
    <w:rsid w:val="00867E49"/>
    <w:rsid w:val="00870210"/>
    <w:rsid w:val="008705F9"/>
    <w:rsid w:val="00870658"/>
    <w:rsid w:val="00870797"/>
    <w:rsid w:val="00870C1F"/>
    <w:rsid w:val="00872EB0"/>
    <w:rsid w:val="008737A0"/>
    <w:rsid w:val="00873CF9"/>
    <w:rsid w:val="0087423E"/>
    <w:rsid w:val="0087433C"/>
    <w:rsid w:val="0087450D"/>
    <w:rsid w:val="00875BA0"/>
    <w:rsid w:val="00875E69"/>
    <w:rsid w:val="0087641F"/>
    <w:rsid w:val="00877C78"/>
    <w:rsid w:val="00877C90"/>
    <w:rsid w:val="008803FD"/>
    <w:rsid w:val="00880CEE"/>
    <w:rsid w:val="0088219F"/>
    <w:rsid w:val="00882CEE"/>
    <w:rsid w:val="00883BAB"/>
    <w:rsid w:val="0088415E"/>
    <w:rsid w:val="00884B63"/>
    <w:rsid w:val="00884F1E"/>
    <w:rsid w:val="00885739"/>
    <w:rsid w:val="008857DD"/>
    <w:rsid w:val="00885A93"/>
    <w:rsid w:val="00885F1D"/>
    <w:rsid w:val="00887051"/>
    <w:rsid w:val="00890343"/>
    <w:rsid w:val="00890C91"/>
    <w:rsid w:val="00891103"/>
    <w:rsid w:val="0089176A"/>
    <w:rsid w:val="00891F3A"/>
    <w:rsid w:val="00893249"/>
    <w:rsid w:val="00893CB6"/>
    <w:rsid w:val="0089413E"/>
    <w:rsid w:val="0089437D"/>
    <w:rsid w:val="0089575C"/>
    <w:rsid w:val="00895EF4"/>
    <w:rsid w:val="008968D7"/>
    <w:rsid w:val="00896BD5"/>
    <w:rsid w:val="008A076F"/>
    <w:rsid w:val="008A0CCB"/>
    <w:rsid w:val="008A11EE"/>
    <w:rsid w:val="008A1CDA"/>
    <w:rsid w:val="008A29FC"/>
    <w:rsid w:val="008A3197"/>
    <w:rsid w:val="008A31DF"/>
    <w:rsid w:val="008A4078"/>
    <w:rsid w:val="008A51DF"/>
    <w:rsid w:val="008A5458"/>
    <w:rsid w:val="008A5671"/>
    <w:rsid w:val="008A6E87"/>
    <w:rsid w:val="008A70F2"/>
    <w:rsid w:val="008B02F6"/>
    <w:rsid w:val="008B0363"/>
    <w:rsid w:val="008B03F1"/>
    <w:rsid w:val="008B0850"/>
    <w:rsid w:val="008B121C"/>
    <w:rsid w:val="008B164E"/>
    <w:rsid w:val="008B3960"/>
    <w:rsid w:val="008B465C"/>
    <w:rsid w:val="008B49E5"/>
    <w:rsid w:val="008B4B4F"/>
    <w:rsid w:val="008B4B94"/>
    <w:rsid w:val="008B5BF4"/>
    <w:rsid w:val="008B6DB8"/>
    <w:rsid w:val="008B7A81"/>
    <w:rsid w:val="008B7FD5"/>
    <w:rsid w:val="008C01E2"/>
    <w:rsid w:val="008C0C69"/>
    <w:rsid w:val="008C0E0A"/>
    <w:rsid w:val="008C18B3"/>
    <w:rsid w:val="008C2B9D"/>
    <w:rsid w:val="008C2DD1"/>
    <w:rsid w:val="008C2EF9"/>
    <w:rsid w:val="008C31F4"/>
    <w:rsid w:val="008C3680"/>
    <w:rsid w:val="008C3BD4"/>
    <w:rsid w:val="008C3D90"/>
    <w:rsid w:val="008C6C7B"/>
    <w:rsid w:val="008C6DFC"/>
    <w:rsid w:val="008C75D0"/>
    <w:rsid w:val="008C766E"/>
    <w:rsid w:val="008C793D"/>
    <w:rsid w:val="008C7A7D"/>
    <w:rsid w:val="008C7E7E"/>
    <w:rsid w:val="008D0496"/>
    <w:rsid w:val="008D38BE"/>
    <w:rsid w:val="008D3E7D"/>
    <w:rsid w:val="008D5FF8"/>
    <w:rsid w:val="008D65EA"/>
    <w:rsid w:val="008D7D57"/>
    <w:rsid w:val="008D7DA1"/>
    <w:rsid w:val="008E01A9"/>
    <w:rsid w:val="008E0AC6"/>
    <w:rsid w:val="008E1061"/>
    <w:rsid w:val="008E155B"/>
    <w:rsid w:val="008E27F7"/>
    <w:rsid w:val="008E3279"/>
    <w:rsid w:val="008E3B51"/>
    <w:rsid w:val="008E3D4D"/>
    <w:rsid w:val="008E43E4"/>
    <w:rsid w:val="008E4623"/>
    <w:rsid w:val="008E4B7C"/>
    <w:rsid w:val="008E4F26"/>
    <w:rsid w:val="008E5855"/>
    <w:rsid w:val="008E59A0"/>
    <w:rsid w:val="008E6745"/>
    <w:rsid w:val="008E7114"/>
    <w:rsid w:val="008E7466"/>
    <w:rsid w:val="008E79B9"/>
    <w:rsid w:val="008F117A"/>
    <w:rsid w:val="008F1332"/>
    <w:rsid w:val="008F16B0"/>
    <w:rsid w:val="008F30BB"/>
    <w:rsid w:val="008F3605"/>
    <w:rsid w:val="008F37CC"/>
    <w:rsid w:val="008F3DE2"/>
    <w:rsid w:val="008F4015"/>
    <w:rsid w:val="008F5005"/>
    <w:rsid w:val="008F60BF"/>
    <w:rsid w:val="008F63E2"/>
    <w:rsid w:val="008F6E16"/>
    <w:rsid w:val="008F7752"/>
    <w:rsid w:val="008F7B2A"/>
    <w:rsid w:val="00900D4F"/>
    <w:rsid w:val="00900FDF"/>
    <w:rsid w:val="00902319"/>
    <w:rsid w:val="0090325E"/>
    <w:rsid w:val="00903670"/>
    <w:rsid w:val="009036A5"/>
    <w:rsid w:val="00903ED5"/>
    <w:rsid w:val="009041C7"/>
    <w:rsid w:val="009045DE"/>
    <w:rsid w:val="00904639"/>
    <w:rsid w:val="00904B81"/>
    <w:rsid w:val="00905106"/>
    <w:rsid w:val="00907C45"/>
    <w:rsid w:val="0091030A"/>
    <w:rsid w:val="009106F0"/>
    <w:rsid w:val="00911720"/>
    <w:rsid w:val="0091172D"/>
    <w:rsid w:val="00912560"/>
    <w:rsid w:val="009125A5"/>
    <w:rsid w:val="00912D43"/>
    <w:rsid w:val="00913D76"/>
    <w:rsid w:val="0091556D"/>
    <w:rsid w:val="00915B32"/>
    <w:rsid w:val="00915E60"/>
    <w:rsid w:val="00916524"/>
    <w:rsid w:val="009169DB"/>
    <w:rsid w:val="00917751"/>
    <w:rsid w:val="00917B5D"/>
    <w:rsid w:val="00917D0F"/>
    <w:rsid w:val="00920DC2"/>
    <w:rsid w:val="00920FFB"/>
    <w:rsid w:val="009213E1"/>
    <w:rsid w:val="0092188F"/>
    <w:rsid w:val="00922820"/>
    <w:rsid w:val="009228DF"/>
    <w:rsid w:val="009229E7"/>
    <w:rsid w:val="00923039"/>
    <w:rsid w:val="00923AE2"/>
    <w:rsid w:val="0092485C"/>
    <w:rsid w:val="009269C0"/>
    <w:rsid w:val="009270ED"/>
    <w:rsid w:val="00927B52"/>
    <w:rsid w:val="00930FF7"/>
    <w:rsid w:val="00931534"/>
    <w:rsid w:val="00931CC4"/>
    <w:rsid w:val="00931EA2"/>
    <w:rsid w:val="009325AB"/>
    <w:rsid w:val="00932766"/>
    <w:rsid w:val="00932AE4"/>
    <w:rsid w:val="00933536"/>
    <w:rsid w:val="00934054"/>
    <w:rsid w:val="00934207"/>
    <w:rsid w:val="00934ACE"/>
    <w:rsid w:val="00934BB9"/>
    <w:rsid w:val="00935217"/>
    <w:rsid w:val="009358DC"/>
    <w:rsid w:val="00936798"/>
    <w:rsid w:val="00936F60"/>
    <w:rsid w:val="00936F8B"/>
    <w:rsid w:val="009411E3"/>
    <w:rsid w:val="00941A60"/>
    <w:rsid w:val="00942A7B"/>
    <w:rsid w:val="009435C2"/>
    <w:rsid w:val="00946B2B"/>
    <w:rsid w:val="00946B6A"/>
    <w:rsid w:val="009478AB"/>
    <w:rsid w:val="00950622"/>
    <w:rsid w:val="00950DFF"/>
    <w:rsid w:val="00950EBB"/>
    <w:rsid w:val="009516A8"/>
    <w:rsid w:val="0095224E"/>
    <w:rsid w:val="00952531"/>
    <w:rsid w:val="0095262F"/>
    <w:rsid w:val="0095283A"/>
    <w:rsid w:val="00952FC2"/>
    <w:rsid w:val="00954605"/>
    <w:rsid w:val="00954B22"/>
    <w:rsid w:val="009557B0"/>
    <w:rsid w:val="00955CCF"/>
    <w:rsid w:val="009565B7"/>
    <w:rsid w:val="00957C23"/>
    <w:rsid w:val="009603E9"/>
    <w:rsid w:val="009603EC"/>
    <w:rsid w:val="009608A7"/>
    <w:rsid w:val="00960E6C"/>
    <w:rsid w:val="009618AE"/>
    <w:rsid w:val="009635CC"/>
    <w:rsid w:val="0096371A"/>
    <w:rsid w:val="0096455F"/>
    <w:rsid w:val="0096463E"/>
    <w:rsid w:val="00964688"/>
    <w:rsid w:val="00964938"/>
    <w:rsid w:val="00964A5A"/>
    <w:rsid w:val="00965F1B"/>
    <w:rsid w:val="0096679A"/>
    <w:rsid w:val="00966A97"/>
    <w:rsid w:val="00966AB5"/>
    <w:rsid w:val="00967BB7"/>
    <w:rsid w:val="009709FB"/>
    <w:rsid w:val="00970EE7"/>
    <w:rsid w:val="00971728"/>
    <w:rsid w:val="00971A3B"/>
    <w:rsid w:val="00973DC0"/>
    <w:rsid w:val="00974AAD"/>
    <w:rsid w:val="00975110"/>
    <w:rsid w:val="00975882"/>
    <w:rsid w:val="00975E60"/>
    <w:rsid w:val="00976037"/>
    <w:rsid w:val="0097617E"/>
    <w:rsid w:val="009768C2"/>
    <w:rsid w:val="00977210"/>
    <w:rsid w:val="00977EA6"/>
    <w:rsid w:val="0098029E"/>
    <w:rsid w:val="0098140B"/>
    <w:rsid w:val="00981685"/>
    <w:rsid w:val="00981C0D"/>
    <w:rsid w:val="00981C68"/>
    <w:rsid w:val="009829A3"/>
    <w:rsid w:val="00982A52"/>
    <w:rsid w:val="009834D0"/>
    <w:rsid w:val="00983F85"/>
    <w:rsid w:val="0098503F"/>
    <w:rsid w:val="00985B43"/>
    <w:rsid w:val="009865C5"/>
    <w:rsid w:val="009867D1"/>
    <w:rsid w:val="0098724A"/>
    <w:rsid w:val="00987501"/>
    <w:rsid w:val="0098770F"/>
    <w:rsid w:val="00991258"/>
    <w:rsid w:val="00991F17"/>
    <w:rsid w:val="00991FC1"/>
    <w:rsid w:val="00992085"/>
    <w:rsid w:val="009926F6"/>
    <w:rsid w:val="00992938"/>
    <w:rsid w:val="00992D1D"/>
    <w:rsid w:val="009933C7"/>
    <w:rsid w:val="0099345C"/>
    <w:rsid w:val="00993C61"/>
    <w:rsid w:val="00993E35"/>
    <w:rsid w:val="0099460D"/>
    <w:rsid w:val="009950F1"/>
    <w:rsid w:val="009957AB"/>
    <w:rsid w:val="00995D5B"/>
    <w:rsid w:val="00995EC3"/>
    <w:rsid w:val="009963DB"/>
    <w:rsid w:val="0099649B"/>
    <w:rsid w:val="0099681C"/>
    <w:rsid w:val="009A09FD"/>
    <w:rsid w:val="009A0CC1"/>
    <w:rsid w:val="009A13BF"/>
    <w:rsid w:val="009A19BA"/>
    <w:rsid w:val="009A1B9D"/>
    <w:rsid w:val="009A2246"/>
    <w:rsid w:val="009A2336"/>
    <w:rsid w:val="009A24C8"/>
    <w:rsid w:val="009A254C"/>
    <w:rsid w:val="009A26D9"/>
    <w:rsid w:val="009A3368"/>
    <w:rsid w:val="009A39E3"/>
    <w:rsid w:val="009A3A5A"/>
    <w:rsid w:val="009A4716"/>
    <w:rsid w:val="009A52A5"/>
    <w:rsid w:val="009A538E"/>
    <w:rsid w:val="009A5BC2"/>
    <w:rsid w:val="009A5EE3"/>
    <w:rsid w:val="009A605A"/>
    <w:rsid w:val="009A6492"/>
    <w:rsid w:val="009A6913"/>
    <w:rsid w:val="009A6BEC"/>
    <w:rsid w:val="009A717F"/>
    <w:rsid w:val="009A77E1"/>
    <w:rsid w:val="009B02E4"/>
    <w:rsid w:val="009B03AB"/>
    <w:rsid w:val="009B094C"/>
    <w:rsid w:val="009B0DD1"/>
    <w:rsid w:val="009B2078"/>
    <w:rsid w:val="009B2085"/>
    <w:rsid w:val="009B25C1"/>
    <w:rsid w:val="009B2938"/>
    <w:rsid w:val="009B3057"/>
    <w:rsid w:val="009B3A10"/>
    <w:rsid w:val="009B4542"/>
    <w:rsid w:val="009B55BB"/>
    <w:rsid w:val="009B5E3D"/>
    <w:rsid w:val="009B6AC7"/>
    <w:rsid w:val="009B6DCF"/>
    <w:rsid w:val="009B6EEA"/>
    <w:rsid w:val="009B7A28"/>
    <w:rsid w:val="009C082C"/>
    <w:rsid w:val="009C1CA5"/>
    <w:rsid w:val="009C1F5E"/>
    <w:rsid w:val="009C230A"/>
    <w:rsid w:val="009C28FE"/>
    <w:rsid w:val="009C374E"/>
    <w:rsid w:val="009C3869"/>
    <w:rsid w:val="009C38F6"/>
    <w:rsid w:val="009C4123"/>
    <w:rsid w:val="009C45DF"/>
    <w:rsid w:val="009C5821"/>
    <w:rsid w:val="009C618F"/>
    <w:rsid w:val="009C6651"/>
    <w:rsid w:val="009C742F"/>
    <w:rsid w:val="009C7DC7"/>
    <w:rsid w:val="009D0673"/>
    <w:rsid w:val="009D078A"/>
    <w:rsid w:val="009D0801"/>
    <w:rsid w:val="009D0962"/>
    <w:rsid w:val="009D171E"/>
    <w:rsid w:val="009D1EAC"/>
    <w:rsid w:val="009D21C2"/>
    <w:rsid w:val="009D2885"/>
    <w:rsid w:val="009D3FE3"/>
    <w:rsid w:val="009D44AB"/>
    <w:rsid w:val="009D4932"/>
    <w:rsid w:val="009D540C"/>
    <w:rsid w:val="009D5D0F"/>
    <w:rsid w:val="009D625E"/>
    <w:rsid w:val="009D6A28"/>
    <w:rsid w:val="009D7364"/>
    <w:rsid w:val="009D7C90"/>
    <w:rsid w:val="009E0655"/>
    <w:rsid w:val="009E1852"/>
    <w:rsid w:val="009E1A2F"/>
    <w:rsid w:val="009E1C65"/>
    <w:rsid w:val="009E29FA"/>
    <w:rsid w:val="009E2C68"/>
    <w:rsid w:val="009E3589"/>
    <w:rsid w:val="009E37F2"/>
    <w:rsid w:val="009E39EB"/>
    <w:rsid w:val="009E4F9E"/>
    <w:rsid w:val="009E545D"/>
    <w:rsid w:val="009E6E6B"/>
    <w:rsid w:val="009E7465"/>
    <w:rsid w:val="009E7ADA"/>
    <w:rsid w:val="009F055B"/>
    <w:rsid w:val="009F064A"/>
    <w:rsid w:val="009F0FED"/>
    <w:rsid w:val="009F3140"/>
    <w:rsid w:val="009F31B4"/>
    <w:rsid w:val="009F4107"/>
    <w:rsid w:val="009F459D"/>
    <w:rsid w:val="009F4680"/>
    <w:rsid w:val="009F4CC7"/>
    <w:rsid w:val="009F4CEB"/>
    <w:rsid w:val="009F5A2C"/>
    <w:rsid w:val="009F5B43"/>
    <w:rsid w:val="009F65B4"/>
    <w:rsid w:val="009F679B"/>
    <w:rsid w:val="009F689A"/>
    <w:rsid w:val="009F6C8C"/>
    <w:rsid w:val="009F7C09"/>
    <w:rsid w:val="00A001A8"/>
    <w:rsid w:val="00A00AD3"/>
    <w:rsid w:val="00A01F89"/>
    <w:rsid w:val="00A021E8"/>
    <w:rsid w:val="00A02C6F"/>
    <w:rsid w:val="00A02CFB"/>
    <w:rsid w:val="00A030BA"/>
    <w:rsid w:val="00A03EB4"/>
    <w:rsid w:val="00A0400B"/>
    <w:rsid w:val="00A05437"/>
    <w:rsid w:val="00A060F4"/>
    <w:rsid w:val="00A102CD"/>
    <w:rsid w:val="00A11D2C"/>
    <w:rsid w:val="00A12203"/>
    <w:rsid w:val="00A128F1"/>
    <w:rsid w:val="00A12AE2"/>
    <w:rsid w:val="00A130BD"/>
    <w:rsid w:val="00A13CD2"/>
    <w:rsid w:val="00A1485C"/>
    <w:rsid w:val="00A14D62"/>
    <w:rsid w:val="00A150A6"/>
    <w:rsid w:val="00A153BF"/>
    <w:rsid w:val="00A15766"/>
    <w:rsid w:val="00A15A59"/>
    <w:rsid w:val="00A15FA4"/>
    <w:rsid w:val="00A16058"/>
    <w:rsid w:val="00A170B7"/>
    <w:rsid w:val="00A173AE"/>
    <w:rsid w:val="00A21872"/>
    <w:rsid w:val="00A218D1"/>
    <w:rsid w:val="00A21FDB"/>
    <w:rsid w:val="00A2386F"/>
    <w:rsid w:val="00A23942"/>
    <w:rsid w:val="00A24244"/>
    <w:rsid w:val="00A24281"/>
    <w:rsid w:val="00A2484D"/>
    <w:rsid w:val="00A24B0C"/>
    <w:rsid w:val="00A24BCA"/>
    <w:rsid w:val="00A251A6"/>
    <w:rsid w:val="00A253CB"/>
    <w:rsid w:val="00A26227"/>
    <w:rsid w:val="00A26D07"/>
    <w:rsid w:val="00A27D35"/>
    <w:rsid w:val="00A27FAA"/>
    <w:rsid w:val="00A30044"/>
    <w:rsid w:val="00A30931"/>
    <w:rsid w:val="00A30E24"/>
    <w:rsid w:val="00A32142"/>
    <w:rsid w:val="00A32E05"/>
    <w:rsid w:val="00A333F5"/>
    <w:rsid w:val="00A3481D"/>
    <w:rsid w:val="00A3546A"/>
    <w:rsid w:val="00A358F1"/>
    <w:rsid w:val="00A35B88"/>
    <w:rsid w:val="00A40F45"/>
    <w:rsid w:val="00A41CE4"/>
    <w:rsid w:val="00A42DA4"/>
    <w:rsid w:val="00A4362A"/>
    <w:rsid w:val="00A43BF0"/>
    <w:rsid w:val="00A443ED"/>
    <w:rsid w:val="00A45649"/>
    <w:rsid w:val="00A4595D"/>
    <w:rsid w:val="00A45D59"/>
    <w:rsid w:val="00A475B6"/>
    <w:rsid w:val="00A47E4A"/>
    <w:rsid w:val="00A50296"/>
    <w:rsid w:val="00A50A74"/>
    <w:rsid w:val="00A514D5"/>
    <w:rsid w:val="00A51B1C"/>
    <w:rsid w:val="00A53669"/>
    <w:rsid w:val="00A54758"/>
    <w:rsid w:val="00A55121"/>
    <w:rsid w:val="00A5540C"/>
    <w:rsid w:val="00A55939"/>
    <w:rsid w:val="00A55C45"/>
    <w:rsid w:val="00A55CDE"/>
    <w:rsid w:val="00A562D0"/>
    <w:rsid w:val="00A56B1F"/>
    <w:rsid w:val="00A57E63"/>
    <w:rsid w:val="00A601E4"/>
    <w:rsid w:val="00A605E6"/>
    <w:rsid w:val="00A61409"/>
    <w:rsid w:val="00A62D14"/>
    <w:rsid w:val="00A634EE"/>
    <w:rsid w:val="00A635A9"/>
    <w:rsid w:val="00A653B0"/>
    <w:rsid w:val="00A65A77"/>
    <w:rsid w:val="00A666F8"/>
    <w:rsid w:val="00A6710B"/>
    <w:rsid w:val="00A677CE"/>
    <w:rsid w:val="00A701CD"/>
    <w:rsid w:val="00A70FB1"/>
    <w:rsid w:val="00A71052"/>
    <w:rsid w:val="00A71633"/>
    <w:rsid w:val="00A716AB"/>
    <w:rsid w:val="00A7265C"/>
    <w:rsid w:val="00A730CE"/>
    <w:rsid w:val="00A732AD"/>
    <w:rsid w:val="00A73F73"/>
    <w:rsid w:val="00A7407D"/>
    <w:rsid w:val="00A740E6"/>
    <w:rsid w:val="00A74BDC"/>
    <w:rsid w:val="00A74BF1"/>
    <w:rsid w:val="00A750C0"/>
    <w:rsid w:val="00A76916"/>
    <w:rsid w:val="00A77C4C"/>
    <w:rsid w:val="00A77CB3"/>
    <w:rsid w:val="00A81800"/>
    <w:rsid w:val="00A819DF"/>
    <w:rsid w:val="00A81CEF"/>
    <w:rsid w:val="00A8226F"/>
    <w:rsid w:val="00A82DC9"/>
    <w:rsid w:val="00A843AD"/>
    <w:rsid w:val="00A848C9"/>
    <w:rsid w:val="00A84B07"/>
    <w:rsid w:val="00A8523F"/>
    <w:rsid w:val="00A86C32"/>
    <w:rsid w:val="00A86FD0"/>
    <w:rsid w:val="00A871C9"/>
    <w:rsid w:val="00A8770E"/>
    <w:rsid w:val="00A90121"/>
    <w:rsid w:val="00A902E7"/>
    <w:rsid w:val="00A92DF3"/>
    <w:rsid w:val="00A94ECB"/>
    <w:rsid w:val="00A9555B"/>
    <w:rsid w:val="00A971BD"/>
    <w:rsid w:val="00A97A4D"/>
    <w:rsid w:val="00A97EC3"/>
    <w:rsid w:val="00AA10A0"/>
    <w:rsid w:val="00AA16C0"/>
    <w:rsid w:val="00AA18B7"/>
    <w:rsid w:val="00AA27CF"/>
    <w:rsid w:val="00AA3154"/>
    <w:rsid w:val="00AA42A6"/>
    <w:rsid w:val="00AA4556"/>
    <w:rsid w:val="00AA48EA"/>
    <w:rsid w:val="00AA4C79"/>
    <w:rsid w:val="00AA561F"/>
    <w:rsid w:val="00AA59FF"/>
    <w:rsid w:val="00AA6360"/>
    <w:rsid w:val="00AA78F4"/>
    <w:rsid w:val="00AB050D"/>
    <w:rsid w:val="00AB0CC9"/>
    <w:rsid w:val="00AB0FC8"/>
    <w:rsid w:val="00AB1E1A"/>
    <w:rsid w:val="00AB3F53"/>
    <w:rsid w:val="00AB424A"/>
    <w:rsid w:val="00AB42EE"/>
    <w:rsid w:val="00AB4FB8"/>
    <w:rsid w:val="00AB531E"/>
    <w:rsid w:val="00AB594C"/>
    <w:rsid w:val="00AB6D68"/>
    <w:rsid w:val="00AB6DA8"/>
    <w:rsid w:val="00AB7080"/>
    <w:rsid w:val="00AB7528"/>
    <w:rsid w:val="00AB77E9"/>
    <w:rsid w:val="00AB7C1A"/>
    <w:rsid w:val="00AB7D44"/>
    <w:rsid w:val="00AC0230"/>
    <w:rsid w:val="00AC03E6"/>
    <w:rsid w:val="00AC04B9"/>
    <w:rsid w:val="00AC14F2"/>
    <w:rsid w:val="00AC1E96"/>
    <w:rsid w:val="00AC2053"/>
    <w:rsid w:val="00AC2748"/>
    <w:rsid w:val="00AC33C3"/>
    <w:rsid w:val="00AC352C"/>
    <w:rsid w:val="00AC3B2A"/>
    <w:rsid w:val="00AC3C08"/>
    <w:rsid w:val="00AC5553"/>
    <w:rsid w:val="00AC5773"/>
    <w:rsid w:val="00AC700C"/>
    <w:rsid w:val="00AC73CA"/>
    <w:rsid w:val="00AC7CAB"/>
    <w:rsid w:val="00AD10F9"/>
    <w:rsid w:val="00AD1150"/>
    <w:rsid w:val="00AD1D3B"/>
    <w:rsid w:val="00AD2101"/>
    <w:rsid w:val="00AD3107"/>
    <w:rsid w:val="00AD4898"/>
    <w:rsid w:val="00AD497C"/>
    <w:rsid w:val="00AD532D"/>
    <w:rsid w:val="00AD5C36"/>
    <w:rsid w:val="00AD65B9"/>
    <w:rsid w:val="00AD702C"/>
    <w:rsid w:val="00AD77E1"/>
    <w:rsid w:val="00AD7C27"/>
    <w:rsid w:val="00AE073D"/>
    <w:rsid w:val="00AE09E8"/>
    <w:rsid w:val="00AE0BB4"/>
    <w:rsid w:val="00AE2407"/>
    <w:rsid w:val="00AE24A7"/>
    <w:rsid w:val="00AE39BF"/>
    <w:rsid w:val="00AE4540"/>
    <w:rsid w:val="00AE4EA1"/>
    <w:rsid w:val="00AE59B7"/>
    <w:rsid w:val="00AE5DC0"/>
    <w:rsid w:val="00AE6ECE"/>
    <w:rsid w:val="00AF03B5"/>
    <w:rsid w:val="00AF2AF0"/>
    <w:rsid w:val="00AF2F18"/>
    <w:rsid w:val="00AF3267"/>
    <w:rsid w:val="00AF4949"/>
    <w:rsid w:val="00AF5E30"/>
    <w:rsid w:val="00AF73D6"/>
    <w:rsid w:val="00B00C2E"/>
    <w:rsid w:val="00B00F5F"/>
    <w:rsid w:val="00B01DF7"/>
    <w:rsid w:val="00B029ED"/>
    <w:rsid w:val="00B02A39"/>
    <w:rsid w:val="00B02B51"/>
    <w:rsid w:val="00B02F98"/>
    <w:rsid w:val="00B05960"/>
    <w:rsid w:val="00B06B5A"/>
    <w:rsid w:val="00B11A7C"/>
    <w:rsid w:val="00B121AA"/>
    <w:rsid w:val="00B13F58"/>
    <w:rsid w:val="00B13F6D"/>
    <w:rsid w:val="00B14124"/>
    <w:rsid w:val="00B1423F"/>
    <w:rsid w:val="00B147C7"/>
    <w:rsid w:val="00B1497D"/>
    <w:rsid w:val="00B15619"/>
    <w:rsid w:val="00B157B7"/>
    <w:rsid w:val="00B15984"/>
    <w:rsid w:val="00B1647A"/>
    <w:rsid w:val="00B16A6A"/>
    <w:rsid w:val="00B16E82"/>
    <w:rsid w:val="00B16F7C"/>
    <w:rsid w:val="00B17173"/>
    <w:rsid w:val="00B17B9A"/>
    <w:rsid w:val="00B17C89"/>
    <w:rsid w:val="00B20676"/>
    <w:rsid w:val="00B209CF"/>
    <w:rsid w:val="00B20F38"/>
    <w:rsid w:val="00B214C5"/>
    <w:rsid w:val="00B22890"/>
    <w:rsid w:val="00B23046"/>
    <w:rsid w:val="00B23433"/>
    <w:rsid w:val="00B24625"/>
    <w:rsid w:val="00B24816"/>
    <w:rsid w:val="00B25178"/>
    <w:rsid w:val="00B25536"/>
    <w:rsid w:val="00B25BE1"/>
    <w:rsid w:val="00B26375"/>
    <w:rsid w:val="00B26DB5"/>
    <w:rsid w:val="00B272FA"/>
    <w:rsid w:val="00B27ABB"/>
    <w:rsid w:val="00B27DA9"/>
    <w:rsid w:val="00B30352"/>
    <w:rsid w:val="00B30393"/>
    <w:rsid w:val="00B303D0"/>
    <w:rsid w:val="00B306A9"/>
    <w:rsid w:val="00B30986"/>
    <w:rsid w:val="00B314CE"/>
    <w:rsid w:val="00B316EF"/>
    <w:rsid w:val="00B32BC9"/>
    <w:rsid w:val="00B332B8"/>
    <w:rsid w:val="00B33C73"/>
    <w:rsid w:val="00B34110"/>
    <w:rsid w:val="00B36682"/>
    <w:rsid w:val="00B37764"/>
    <w:rsid w:val="00B402AD"/>
    <w:rsid w:val="00B40407"/>
    <w:rsid w:val="00B4043C"/>
    <w:rsid w:val="00B40DB2"/>
    <w:rsid w:val="00B416DC"/>
    <w:rsid w:val="00B418CE"/>
    <w:rsid w:val="00B41F17"/>
    <w:rsid w:val="00B422BE"/>
    <w:rsid w:val="00B42840"/>
    <w:rsid w:val="00B42A32"/>
    <w:rsid w:val="00B430B8"/>
    <w:rsid w:val="00B4508C"/>
    <w:rsid w:val="00B458FF"/>
    <w:rsid w:val="00B45BC5"/>
    <w:rsid w:val="00B4614D"/>
    <w:rsid w:val="00B4621A"/>
    <w:rsid w:val="00B46230"/>
    <w:rsid w:val="00B471B8"/>
    <w:rsid w:val="00B47260"/>
    <w:rsid w:val="00B50F5B"/>
    <w:rsid w:val="00B51BC4"/>
    <w:rsid w:val="00B51CAA"/>
    <w:rsid w:val="00B530CB"/>
    <w:rsid w:val="00B5342A"/>
    <w:rsid w:val="00B5352E"/>
    <w:rsid w:val="00B53640"/>
    <w:rsid w:val="00B5379D"/>
    <w:rsid w:val="00B539D9"/>
    <w:rsid w:val="00B54B5F"/>
    <w:rsid w:val="00B5572F"/>
    <w:rsid w:val="00B559B4"/>
    <w:rsid w:val="00B55A11"/>
    <w:rsid w:val="00B55FD3"/>
    <w:rsid w:val="00B5646C"/>
    <w:rsid w:val="00B5664C"/>
    <w:rsid w:val="00B56843"/>
    <w:rsid w:val="00B56CD8"/>
    <w:rsid w:val="00B56E06"/>
    <w:rsid w:val="00B56E3B"/>
    <w:rsid w:val="00B5705B"/>
    <w:rsid w:val="00B57B8D"/>
    <w:rsid w:val="00B57D88"/>
    <w:rsid w:val="00B60853"/>
    <w:rsid w:val="00B60A40"/>
    <w:rsid w:val="00B61051"/>
    <w:rsid w:val="00B619CF"/>
    <w:rsid w:val="00B61F2C"/>
    <w:rsid w:val="00B62121"/>
    <w:rsid w:val="00B625E4"/>
    <w:rsid w:val="00B62728"/>
    <w:rsid w:val="00B62E36"/>
    <w:rsid w:val="00B640D8"/>
    <w:rsid w:val="00B65408"/>
    <w:rsid w:val="00B6582E"/>
    <w:rsid w:val="00B65ED6"/>
    <w:rsid w:val="00B665AA"/>
    <w:rsid w:val="00B67E85"/>
    <w:rsid w:val="00B704C7"/>
    <w:rsid w:val="00B70696"/>
    <w:rsid w:val="00B70933"/>
    <w:rsid w:val="00B71762"/>
    <w:rsid w:val="00B721C9"/>
    <w:rsid w:val="00B73A95"/>
    <w:rsid w:val="00B73B94"/>
    <w:rsid w:val="00B7593D"/>
    <w:rsid w:val="00B76B29"/>
    <w:rsid w:val="00B775BE"/>
    <w:rsid w:val="00B8056A"/>
    <w:rsid w:val="00B821FB"/>
    <w:rsid w:val="00B8285E"/>
    <w:rsid w:val="00B82965"/>
    <w:rsid w:val="00B82CD2"/>
    <w:rsid w:val="00B8321F"/>
    <w:rsid w:val="00B83F52"/>
    <w:rsid w:val="00B84BCE"/>
    <w:rsid w:val="00B85930"/>
    <w:rsid w:val="00B860B0"/>
    <w:rsid w:val="00B874C2"/>
    <w:rsid w:val="00B874DC"/>
    <w:rsid w:val="00B8756C"/>
    <w:rsid w:val="00B87635"/>
    <w:rsid w:val="00B8777D"/>
    <w:rsid w:val="00B87A55"/>
    <w:rsid w:val="00B900B8"/>
    <w:rsid w:val="00B9085B"/>
    <w:rsid w:val="00B90A34"/>
    <w:rsid w:val="00B91364"/>
    <w:rsid w:val="00B9173C"/>
    <w:rsid w:val="00B917B1"/>
    <w:rsid w:val="00B91DA1"/>
    <w:rsid w:val="00B923D4"/>
    <w:rsid w:val="00B92898"/>
    <w:rsid w:val="00B93418"/>
    <w:rsid w:val="00B9558D"/>
    <w:rsid w:val="00B957DD"/>
    <w:rsid w:val="00B95921"/>
    <w:rsid w:val="00B95AEE"/>
    <w:rsid w:val="00B95D45"/>
    <w:rsid w:val="00B95ECE"/>
    <w:rsid w:val="00B9757D"/>
    <w:rsid w:val="00B97ADB"/>
    <w:rsid w:val="00BA0456"/>
    <w:rsid w:val="00BA0C85"/>
    <w:rsid w:val="00BA26E1"/>
    <w:rsid w:val="00BA3CF9"/>
    <w:rsid w:val="00BA3CFE"/>
    <w:rsid w:val="00BA3F4E"/>
    <w:rsid w:val="00BA5D86"/>
    <w:rsid w:val="00BA67CF"/>
    <w:rsid w:val="00BA6855"/>
    <w:rsid w:val="00BA6CFB"/>
    <w:rsid w:val="00BB0B4B"/>
    <w:rsid w:val="00BB0BDA"/>
    <w:rsid w:val="00BB1D78"/>
    <w:rsid w:val="00BB2D6A"/>
    <w:rsid w:val="00BB2F7D"/>
    <w:rsid w:val="00BB3321"/>
    <w:rsid w:val="00BB3F89"/>
    <w:rsid w:val="00BB3FDB"/>
    <w:rsid w:val="00BB6331"/>
    <w:rsid w:val="00BB6A72"/>
    <w:rsid w:val="00BB79A7"/>
    <w:rsid w:val="00BB7BD0"/>
    <w:rsid w:val="00BC0BFB"/>
    <w:rsid w:val="00BC16DE"/>
    <w:rsid w:val="00BC31D1"/>
    <w:rsid w:val="00BC397C"/>
    <w:rsid w:val="00BC3CBD"/>
    <w:rsid w:val="00BC4673"/>
    <w:rsid w:val="00BC497F"/>
    <w:rsid w:val="00BC49E5"/>
    <w:rsid w:val="00BC5ADF"/>
    <w:rsid w:val="00BD0C7B"/>
    <w:rsid w:val="00BD1FA8"/>
    <w:rsid w:val="00BD237B"/>
    <w:rsid w:val="00BD26C2"/>
    <w:rsid w:val="00BD2A71"/>
    <w:rsid w:val="00BD3E9E"/>
    <w:rsid w:val="00BD4157"/>
    <w:rsid w:val="00BD4FBA"/>
    <w:rsid w:val="00BD53F9"/>
    <w:rsid w:val="00BD5593"/>
    <w:rsid w:val="00BD5834"/>
    <w:rsid w:val="00BD64B9"/>
    <w:rsid w:val="00BD6ACC"/>
    <w:rsid w:val="00BD6BC0"/>
    <w:rsid w:val="00BD7037"/>
    <w:rsid w:val="00BE2593"/>
    <w:rsid w:val="00BE25D4"/>
    <w:rsid w:val="00BE269D"/>
    <w:rsid w:val="00BE38CD"/>
    <w:rsid w:val="00BE3A8C"/>
    <w:rsid w:val="00BE4A42"/>
    <w:rsid w:val="00BE4F59"/>
    <w:rsid w:val="00BE5E8C"/>
    <w:rsid w:val="00BE7686"/>
    <w:rsid w:val="00BF0B34"/>
    <w:rsid w:val="00BF0CFF"/>
    <w:rsid w:val="00BF0FBE"/>
    <w:rsid w:val="00BF1ED3"/>
    <w:rsid w:val="00BF202B"/>
    <w:rsid w:val="00BF2818"/>
    <w:rsid w:val="00BF2ED0"/>
    <w:rsid w:val="00BF2ED7"/>
    <w:rsid w:val="00BF3B33"/>
    <w:rsid w:val="00BF3C4B"/>
    <w:rsid w:val="00BF46A7"/>
    <w:rsid w:val="00BF4906"/>
    <w:rsid w:val="00BF53E0"/>
    <w:rsid w:val="00BF5C6B"/>
    <w:rsid w:val="00BF6E97"/>
    <w:rsid w:val="00BF75CE"/>
    <w:rsid w:val="00BF7946"/>
    <w:rsid w:val="00BF7FCA"/>
    <w:rsid w:val="00C000EF"/>
    <w:rsid w:val="00C000F9"/>
    <w:rsid w:val="00C00352"/>
    <w:rsid w:val="00C00448"/>
    <w:rsid w:val="00C004D1"/>
    <w:rsid w:val="00C00F0A"/>
    <w:rsid w:val="00C01AA3"/>
    <w:rsid w:val="00C01E4D"/>
    <w:rsid w:val="00C03547"/>
    <w:rsid w:val="00C03B95"/>
    <w:rsid w:val="00C03DA4"/>
    <w:rsid w:val="00C03F0C"/>
    <w:rsid w:val="00C047A4"/>
    <w:rsid w:val="00C05000"/>
    <w:rsid w:val="00C0736B"/>
    <w:rsid w:val="00C07413"/>
    <w:rsid w:val="00C07AD5"/>
    <w:rsid w:val="00C10121"/>
    <w:rsid w:val="00C102E9"/>
    <w:rsid w:val="00C10C24"/>
    <w:rsid w:val="00C12440"/>
    <w:rsid w:val="00C128A2"/>
    <w:rsid w:val="00C12E44"/>
    <w:rsid w:val="00C13670"/>
    <w:rsid w:val="00C13CD8"/>
    <w:rsid w:val="00C13FCC"/>
    <w:rsid w:val="00C140B8"/>
    <w:rsid w:val="00C147E1"/>
    <w:rsid w:val="00C14CA8"/>
    <w:rsid w:val="00C16579"/>
    <w:rsid w:val="00C2001A"/>
    <w:rsid w:val="00C200FB"/>
    <w:rsid w:val="00C201BD"/>
    <w:rsid w:val="00C20C9A"/>
    <w:rsid w:val="00C237FB"/>
    <w:rsid w:val="00C238A7"/>
    <w:rsid w:val="00C24403"/>
    <w:rsid w:val="00C24618"/>
    <w:rsid w:val="00C24D3B"/>
    <w:rsid w:val="00C24E19"/>
    <w:rsid w:val="00C253A8"/>
    <w:rsid w:val="00C25F99"/>
    <w:rsid w:val="00C274BB"/>
    <w:rsid w:val="00C2764B"/>
    <w:rsid w:val="00C3066C"/>
    <w:rsid w:val="00C308E4"/>
    <w:rsid w:val="00C30C65"/>
    <w:rsid w:val="00C31E80"/>
    <w:rsid w:val="00C32510"/>
    <w:rsid w:val="00C32D08"/>
    <w:rsid w:val="00C33D5C"/>
    <w:rsid w:val="00C33EDA"/>
    <w:rsid w:val="00C3547E"/>
    <w:rsid w:val="00C36679"/>
    <w:rsid w:val="00C37BC9"/>
    <w:rsid w:val="00C40616"/>
    <w:rsid w:val="00C41246"/>
    <w:rsid w:val="00C41AC4"/>
    <w:rsid w:val="00C41CA5"/>
    <w:rsid w:val="00C43630"/>
    <w:rsid w:val="00C445E5"/>
    <w:rsid w:val="00C4465B"/>
    <w:rsid w:val="00C44B78"/>
    <w:rsid w:val="00C45020"/>
    <w:rsid w:val="00C45101"/>
    <w:rsid w:val="00C45C01"/>
    <w:rsid w:val="00C46100"/>
    <w:rsid w:val="00C46901"/>
    <w:rsid w:val="00C47143"/>
    <w:rsid w:val="00C507C2"/>
    <w:rsid w:val="00C509AF"/>
    <w:rsid w:val="00C5144C"/>
    <w:rsid w:val="00C515CA"/>
    <w:rsid w:val="00C51AAC"/>
    <w:rsid w:val="00C51E20"/>
    <w:rsid w:val="00C52033"/>
    <w:rsid w:val="00C52A21"/>
    <w:rsid w:val="00C53632"/>
    <w:rsid w:val="00C53A2E"/>
    <w:rsid w:val="00C53A78"/>
    <w:rsid w:val="00C5435D"/>
    <w:rsid w:val="00C54A52"/>
    <w:rsid w:val="00C55105"/>
    <w:rsid w:val="00C5520C"/>
    <w:rsid w:val="00C56002"/>
    <w:rsid w:val="00C564E5"/>
    <w:rsid w:val="00C56680"/>
    <w:rsid w:val="00C57123"/>
    <w:rsid w:val="00C577E0"/>
    <w:rsid w:val="00C608F5"/>
    <w:rsid w:val="00C609E8"/>
    <w:rsid w:val="00C613F4"/>
    <w:rsid w:val="00C61F0C"/>
    <w:rsid w:val="00C61F4F"/>
    <w:rsid w:val="00C62621"/>
    <w:rsid w:val="00C62699"/>
    <w:rsid w:val="00C627EC"/>
    <w:rsid w:val="00C63B8B"/>
    <w:rsid w:val="00C64A8C"/>
    <w:rsid w:val="00C64A8E"/>
    <w:rsid w:val="00C64E57"/>
    <w:rsid w:val="00C6525C"/>
    <w:rsid w:val="00C66361"/>
    <w:rsid w:val="00C6679D"/>
    <w:rsid w:val="00C66C07"/>
    <w:rsid w:val="00C6719A"/>
    <w:rsid w:val="00C67DB0"/>
    <w:rsid w:val="00C67E38"/>
    <w:rsid w:val="00C702F1"/>
    <w:rsid w:val="00C7071B"/>
    <w:rsid w:val="00C708BC"/>
    <w:rsid w:val="00C731C5"/>
    <w:rsid w:val="00C73C44"/>
    <w:rsid w:val="00C73ED1"/>
    <w:rsid w:val="00C74F95"/>
    <w:rsid w:val="00C7612E"/>
    <w:rsid w:val="00C76F69"/>
    <w:rsid w:val="00C7753A"/>
    <w:rsid w:val="00C7791F"/>
    <w:rsid w:val="00C77BBB"/>
    <w:rsid w:val="00C817A5"/>
    <w:rsid w:val="00C819F4"/>
    <w:rsid w:val="00C81FDE"/>
    <w:rsid w:val="00C83442"/>
    <w:rsid w:val="00C83792"/>
    <w:rsid w:val="00C83B8B"/>
    <w:rsid w:val="00C83EFB"/>
    <w:rsid w:val="00C84397"/>
    <w:rsid w:val="00C84564"/>
    <w:rsid w:val="00C851AD"/>
    <w:rsid w:val="00C8611C"/>
    <w:rsid w:val="00C861AD"/>
    <w:rsid w:val="00C863BA"/>
    <w:rsid w:val="00C871DC"/>
    <w:rsid w:val="00C873FC"/>
    <w:rsid w:val="00C8749E"/>
    <w:rsid w:val="00C877CB"/>
    <w:rsid w:val="00C87F60"/>
    <w:rsid w:val="00C90399"/>
    <w:rsid w:val="00C9095D"/>
    <w:rsid w:val="00C9172F"/>
    <w:rsid w:val="00C918E5"/>
    <w:rsid w:val="00C91FD7"/>
    <w:rsid w:val="00C94EEB"/>
    <w:rsid w:val="00C94F05"/>
    <w:rsid w:val="00C9564A"/>
    <w:rsid w:val="00C956B4"/>
    <w:rsid w:val="00C95D76"/>
    <w:rsid w:val="00C95F31"/>
    <w:rsid w:val="00C96960"/>
    <w:rsid w:val="00C97449"/>
    <w:rsid w:val="00C977A5"/>
    <w:rsid w:val="00C9799F"/>
    <w:rsid w:val="00CA0828"/>
    <w:rsid w:val="00CA119A"/>
    <w:rsid w:val="00CA1218"/>
    <w:rsid w:val="00CA1BAD"/>
    <w:rsid w:val="00CA2EC9"/>
    <w:rsid w:val="00CA35BC"/>
    <w:rsid w:val="00CA3771"/>
    <w:rsid w:val="00CA383C"/>
    <w:rsid w:val="00CA3D5A"/>
    <w:rsid w:val="00CA44EC"/>
    <w:rsid w:val="00CA46E4"/>
    <w:rsid w:val="00CA6047"/>
    <w:rsid w:val="00CA68E1"/>
    <w:rsid w:val="00CA73E7"/>
    <w:rsid w:val="00CA7E83"/>
    <w:rsid w:val="00CB1B5D"/>
    <w:rsid w:val="00CB272D"/>
    <w:rsid w:val="00CB2C7E"/>
    <w:rsid w:val="00CB2C80"/>
    <w:rsid w:val="00CB2FF4"/>
    <w:rsid w:val="00CB3402"/>
    <w:rsid w:val="00CB39E1"/>
    <w:rsid w:val="00CB3A63"/>
    <w:rsid w:val="00CB3FED"/>
    <w:rsid w:val="00CB48F3"/>
    <w:rsid w:val="00CB4F34"/>
    <w:rsid w:val="00CB590B"/>
    <w:rsid w:val="00CB5C14"/>
    <w:rsid w:val="00CB6712"/>
    <w:rsid w:val="00CB79F9"/>
    <w:rsid w:val="00CC08C4"/>
    <w:rsid w:val="00CC0BFD"/>
    <w:rsid w:val="00CC1041"/>
    <w:rsid w:val="00CC16DE"/>
    <w:rsid w:val="00CC1B82"/>
    <w:rsid w:val="00CC23C9"/>
    <w:rsid w:val="00CC256E"/>
    <w:rsid w:val="00CC2904"/>
    <w:rsid w:val="00CC2EA1"/>
    <w:rsid w:val="00CC34A6"/>
    <w:rsid w:val="00CC40FF"/>
    <w:rsid w:val="00CC4DA3"/>
    <w:rsid w:val="00CC4F70"/>
    <w:rsid w:val="00CC544D"/>
    <w:rsid w:val="00CC5F30"/>
    <w:rsid w:val="00CC6959"/>
    <w:rsid w:val="00CC79D3"/>
    <w:rsid w:val="00CD0B5A"/>
    <w:rsid w:val="00CD0ECC"/>
    <w:rsid w:val="00CD19CB"/>
    <w:rsid w:val="00CD2710"/>
    <w:rsid w:val="00CD31AA"/>
    <w:rsid w:val="00CD393A"/>
    <w:rsid w:val="00CD51DE"/>
    <w:rsid w:val="00CD605F"/>
    <w:rsid w:val="00CD6230"/>
    <w:rsid w:val="00CD63B3"/>
    <w:rsid w:val="00CD64DD"/>
    <w:rsid w:val="00CD7D45"/>
    <w:rsid w:val="00CE16C1"/>
    <w:rsid w:val="00CE261A"/>
    <w:rsid w:val="00CE2FAA"/>
    <w:rsid w:val="00CE3C10"/>
    <w:rsid w:val="00CE4A59"/>
    <w:rsid w:val="00CE4E64"/>
    <w:rsid w:val="00CE5F21"/>
    <w:rsid w:val="00CE6B99"/>
    <w:rsid w:val="00CE71C8"/>
    <w:rsid w:val="00CE735C"/>
    <w:rsid w:val="00CF050E"/>
    <w:rsid w:val="00CF0A6A"/>
    <w:rsid w:val="00CF1E93"/>
    <w:rsid w:val="00CF2B48"/>
    <w:rsid w:val="00CF34D5"/>
    <w:rsid w:val="00CF3BA2"/>
    <w:rsid w:val="00CF428F"/>
    <w:rsid w:val="00CF4C31"/>
    <w:rsid w:val="00CF4D4D"/>
    <w:rsid w:val="00CF58E3"/>
    <w:rsid w:val="00CF5E14"/>
    <w:rsid w:val="00CF7471"/>
    <w:rsid w:val="00CF7C52"/>
    <w:rsid w:val="00CF7D64"/>
    <w:rsid w:val="00D00879"/>
    <w:rsid w:val="00D01349"/>
    <w:rsid w:val="00D0137A"/>
    <w:rsid w:val="00D01E01"/>
    <w:rsid w:val="00D01ED8"/>
    <w:rsid w:val="00D0263F"/>
    <w:rsid w:val="00D02A1A"/>
    <w:rsid w:val="00D036FE"/>
    <w:rsid w:val="00D03FA4"/>
    <w:rsid w:val="00D045E9"/>
    <w:rsid w:val="00D0470A"/>
    <w:rsid w:val="00D04865"/>
    <w:rsid w:val="00D04990"/>
    <w:rsid w:val="00D053BD"/>
    <w:rsid w:val="00D05661"/>
    <w:rsid w:val="00D05981"/>
    <w:rsid w:val="00D05EC2"/>
    <w:rsid w:val="00D06496"/>
    <w:rsid w:val="00D066BC"/>
    <w:rsid w:val="00D06BC0"/>
    <w:rsid w:val="00D06DB2"/>
    <w:rsid w:val="00D07CA2"/>
    <w:rsid w:val="00D1067A"/>
    <w:rsid w:val="00D10986"/>
    <w:rsid w:val="00D119B0"/>
    <w:rsid w:val="00D11DBB"/>
    <w:rsid w:val="00D11F14"/>
    <w:rsid w:val="00D148B8"/>
    <w:rsid w:val="00D14A2F"/>
    <w:rsid w:val="00D153B8"/>
    <w:rsid w:val="00D154D2"/>
    <w:rsid w:val="00D1704F"/>
    <w:rsid w:val="00D20092"/>
    <w:rsid w:val="00D204D0"/>
    <w:rsid w:val="00D207BB"/>
    <w:rsid w:val="00D20AB8"/>
    <w:rsid w:val="00D21067"/>
    <w:rsid w:val="00D21ECB"/>
    <w:rsid w:val="00D22186"/>
    <w:rsid w:val="00D22362"/>
    <w:rsid w:val="00D23840"/>
    <w:rsid w:val="00D23864"/>
    <w:rsid w:val="00D23EEF"/>
    <w:rsid w:val="00D242E1"/>
    <w:rsid w:val="00D24757"/>
    <w:rsid w:val="00D26BE4"/>
    <w:rsid w:val="00D30621"/>
    <w:rsid w:val="00D311C9"/>
    <w:rsid w:val="00D31A46"/>
    <w:rsid w:val="00D32EB0"/>
    <w:rsid w:val="00D3319C"/>
    <w:rsid w:val="00D342BA"/>
    <w:rsid w:val="00D34E1F"/>
    <w:rsid w:val="00D34F2D"/>
    <w:rsid w:val="00D354D5"/>
    <w:rsid w:val="00D356C5"/>
    <w:rsid w:val="00D36076"/>
    <w:rsid w:val="00D36579"/>
    <w:rsid w:val="00D37103"/>
    <w:rsid w:val="00D375F3"/>
    <w:rsid w:val="00D4213E"/>
    <w:rsid w:val="00D423F3"/>
    <w:rsid w:val="00D42FD9"/>
    <w:rsid w:val="00D4302D"/>
    <w:rsid w:val="00D430B9"/>
    <w:rsid w:val="00D430DD"/>
    <w:rsid w:val="00D4428A"/>
    <w:rsid w:val="00D44F6A"/>
    <w:rsid w:val="00D458E2"/>
    <w:rsid w:val="00D46948"/>
    <w:rsid w:val="00D47CA3"/>
    <w:rsid w:val="00D51D07"/>
    <w:rsid w:val="00D526F9"/>
    <w:rsid w:val="00D52AFA"/>
    <w:rsid w:val="00D52E11"/>
    <w:rsid w:val="00D53706"/>
    <w:rsid w:val="00D5372D"/>
    <w:rsid w:val="00D55381"/>
    <w:rsid w:val="00D554AD"/>
    <w:rsid w:val="00D55937"/>
    <w:rsid w:val="00D5621C"/>
    <w:rsid w:val="00D56C85"/>
    <w:rsid w:val="00D56E7A"/>
    <w:rsid w:val="00D56FBA"/>
    <w:rsid w:val="00D570F6"/>
    <w:rsid w:val="00D57A2D"/>
    <w:rsid w:val="00D606A2"/>
    <w:rsid w:val="00D606F7"/>
    <w:rsid w:val="00D607FA"/>
    <w:rsid w:val="00D608DA"/>
    <w:rsid w:val="00D60D8D"/>
    <w:rsid w:val="00D610E2"/>
    <w:rsid w:val="00D61613"/>
    <w:rsid w:val="00D621F5"/>
    <w:rsid w:val="00D630C6"/>
    <w:rsid w:val="00D63713"/>
    <w:rsid w:val="00D63B38"/>
    <w:rsid w:val="00D63DC0"/>
    <w:rsid w:val="00D63EAD"/>
    <w:rsid w:val="00D64691"/>
    <w:rsid w:val="00D678DA"/>
    <w:rsid w:val="00D71A7E"/>
    <w:rsid w:val="00D72137"/>
    <w:rsid w:val="00D7225E"/>
    <w:rsid w:val="00D72413"/>
    <w:rsid w:val="00D72553"/>
    <w:rsid w:val="00D729FA"/>
    <w:rsid w:val="00D72A18"/>
    <w:rsid w:val="00D730DF"/>
    <w:rsid w:val="00D731D7"/>
    <w:rsid w:val="00D74635"/>
    <w:rsid w:val="00D74E19"/>
    <w:rsid w:val="00D757B6"/>
    <w:rsid w:val="00D770A6"/>
    <w:rsid w:val="00D778A6"/>
    <w:rsid w:val="00D779BA"/>
    <w:rsid w:val="00D77A26"/>
    <w:rsid w:val="00D80A96"/>
    <w:rsid w:val="00D80D2B"/>
    <w:rsid w:val="00D80D55"/>
    <w:rsid w:val="00D80DBC"/>
    <w:rsid w:val="00D80F8B"/>
    <w:rsid w:val="00D83414"/>
    <w:rsid w:val="00D8382A"/>
    <w:rsid w:val="00D84446"/>
    <w:rsid w:val="00D84D17"/>
    <w:rsid w:val="00D84DD3"/>
    <w:rsid w:val="00D84E4B"/>
    <w:rsid w:val="00D84F9B"/>
    <w:rsid w:val="00D871BD"/>
    <w:rsid w:val="00D874AE"/>
    <w:rsid w:val="00D8779F"/>
    <w:rsid w:val="00D87B69"/>
    <w:rsid w:val="00D90FA8"/>
    <w:rsid w:val="00D9147C"/>
    <w:rsid w:val="00D91A37"/>
    <w:rsid w:val="00D91F3C"/>
    <w:rsid w:val="00D92505"/>
    <w:rsid w:val="00D929C3"/>
    <w:rsid w:val="00D92CD7"/>
    <w:rsid w:val="00D9463A"/>
    <w:rsid w:val="00D9478C"/>
    <w:rsid w:val="00D947FC"/>
    <w:rsid w:val="00D94CB9"/>
    <w:rsid w:val="00D9544B"/>
    <w:rsid w:val="00D96737"/>
    <w:rsid w:val="00D96981"/>
    <w:rsid w:val="00D96AEB"/>
    <w:rsid w:val="00DA0374"/>
    <w:rsid w:val="00DA0733"/>
    <w:rsid w:val="00DA168E"/>
    <w:rsid w:val="00DA221C"/>
    <w:rsid w:val="00DA237F"/>
    <w:rsid w:val="00DA2458"/>
    <w:rsid w:val="00DA2466"/>
    <w:rsid w:val="00DA2CE3"/>
    <w:rsid w:val="00DA2D4B"/>
    <w:rsid w:val="00DA2D7A"/>
    <w:rsid w:val="00DA3C6C"/>
    <w:rsid w:val="00DA42B8"/>
    <w:rsid w:val="00DA4806"/>
    <w:rsid w:val="00DA4A57"/>
    <w:rsid w:val="00DA4DF4"/>
    <w:rsid w:val="00DA5520"/>
    <w:rsid w:val="00DA6D6D"/>
    <w:rsid w:val="00DA72B7"/>
    <w:rsid w:val="00DA774B"/>
    <w:rsid w:val="00DB1647"/>
    <w:rsid w:val="00DB1A45"/>
    <w:rsid w:val="00DB246A"/>
    <w:rsid w:val="00DB25EC"/>
    <w:rsid w:val="00DB2D4D"/>
    <w:rsid w:val="00DB33A0"/>
    <w:rsid w:val="00DB33D8"/>
    <w:rsid w:val="00DB35E3"/>
    <w:rsid w:val="00DB398B"/>
    <w:rsid w:val="00DB4628"/>
    <w:rsid w:val="00DB49D8"/>
    <w:rsid w:val="00DB54FE"/>
    <w:rsid w:val="00DB5992"/>
    <w:rsid w:val="00DB6CFD"/>
    <w:rsid w:val="00DB71A1"/>
    <w:rsid w:val="00DB730E"/>
    <w:rsid w:val="00DC0BD2"/>
    <w:rsid w:val="00DC17C4"/>
    <w:rsid w:val="00DC18F3"/>
    <w:rsid w:val="00DC1E63"/>
    <w:rsid w:val="00DC21D7"/>
    <w:rsid w:val="00DC23B0"/>
    <w:rsid w:val="00DC268C"/>
    <w:rsid w:val="00DC28CB"/>
    <w:rsid w:val="00DC2BD8"/>
    <w:rsid w:val="00DC3A62"/>
    <w:rsid w:val="00DC3F35"/>
    <w:rsid w:val="00DC4185"/>
    <w:rsid w:val="00DC4918"/>
    <w:rsid w:val="00DC55E4"/>
    <w:rsid w:val="00DC6BD3"/>
    <w:rsid w:val="00DC768C"/>
    <w:rsid w:val="00DC7FD1"/>
    <w:rsid w:val="00DD0641"/>
    <w:rsid w:val="00DD06E7"/>
    <w:rsid w:val="00DD07B4"/>
    <w:rsid w:val="00DD0916"/>
    <w:rsid w:val="00DD101D"/>
    <w:rsid w:val="00DD1575"/>
    <w:rsid w:val="00DD190C"/>
    <w:rsid w:val="00DD1DF6"/>
    <w:rsid w:val="00DD2445"/>
    <w:rsid w:val="00DD37E4"/>
    <w:rsid w:val="00DD3D2B"/>
    <w:rsid w:val="00DD442D"/>
    <w:rsid w:val="00DD4667"/>
    <w:rsid w:val="00DD4AA1"/>
    <w:rsid w:val="00DD4D57"/>
    <w:rsid w:val="00DD4EAE"/>
    <w:rsid w:val="00DD5822"/>
    <w:rsid w:val="00DD584F"/>
    <w:rsid w:val="00DD5D8A"/>
    <w:rsid w:val="00DD658D"/>
    <w:rsid w:val="00DD6B53"/>
    <w:rsid w:val="00DD6E0E"/>
    <w:rsid w:val="00DD752A"/>
    <w:rsid w:val="00DD7C2E"/>
    <w:rsid w:val="00DE1169"/>
    <w:rsid w:val="00DE1FE1"/>
    <w:rsid w:val="00DE22B4"/>
    <w:rsid w:val="00DE23B2"/>
    <w:rsid w:val="00DE2799"/>
    <w:rsid w:val="00DE37B2"/>
    <w:rsid w:val="00DE4290"/>
    <w:rsid w:val="00DE4927"/>
    <w:rsid w:val="00DE518E"/>
    <w:rsid w:val="00DE52E8"/>
    <w:rsid w:val="00DE5A85"/>
    <w:rsid w:val="00DE638F"/>
    <w:rsid w:val="00DE721C"/>
    <w:rsid w:val="00DE7610"/>
    <w:rsid w:val="00DE7753"/>
    <w:rsid w:val="00DE77AC"/>
    <w:rsid w:val="00DE7FAE"/>
    <w:rsid w:val="00DF08DB"/>
    <w:rsid w:val="00DF09E5"/>
    <w:rsid w:val="00DF1713"/>
    <w:rsid w:val="00DF17E7"/>
    <w:rsid w:val="00DF3140"/>
    <w:rsid w:val="00DF3DC7"/>
    <w:rsid w:val="00DF4C88"/>
    <w:rsid w:val="00DF58A9"/>
    <w:rsid w:val="00DF5A1D"/>
    <w:rsid w:val="00DF602D"/>
    <w:rsid w:val="00DF60AB"/>
    <w:rsid w:val="00DF62B2"/>
    <w:rsid w:val="00DF6FBF"/>
    <w:rsid w:val="00DF7A13"/>
    <w:rsid w:val="00E01A86"/>
    <w:rsid w:val="00E01F84"/>
    <w:rsid w:val="00E023C9"/>
    <w:rsid w:val="00E02B81"/>
    <w:rsid w:val="00E033C5"/>
    <w:rsid w:val="00E055CA"/>
    <w:rsid w:val="00E05861"/>
    <w:rsid w:val="00E05B14"/>
    <w:rsid w:val="00E05E0B"/>
    <w:rsid w:val="00E05E35"/>
    <w:rsid w:val="00E069A2"/>
    <w:rsid w:val="00E069BC"/>
    <w:rsid w:val="00E06C5A"/>
    <w:rsid w:val="00E06EFA"/>
    <w:rsid w:val="00E072A4"/>
    <w:rsid w:val="00E07A24"/>
    <w:rsid w:val="00E07A38"/>
    <w:rsid w:val="00E10337"/>
    <w:rsid w:val="00E103EE"/>
    <w:rsid w:val="00E10494"/>
    <w:rsid w:val="00E105B9"/>
    <w:rsid w:val="00E11D0F"/>
    <w:rsid w:val="00E12FF4"/>
    <w:rsid w:val="00E13354"/>
    <w:rsid w:val="00E142B9"/>
    <w:rsid w:val="00E14BC8"/>
    <w:rsid w:val="00E159AE"/>
    <w:rsid w:val="00E1729B"/>
    <w:rsid w:val="00E172CC"/>
    <w:rsid w:val="00E175EA"/>
    <w:rsid w:val="00E178CA"/>
    <w:rsid w:val="00E17B70"/>
    <w:rsid w:val="00E17BCF"/>
    <w:rsid w:val="00E17EEE"/>
    <w:rsid w:val="00E20407"/>
    <w:rsid w:val="00E20CFD"/>
    <w:rsid w:val="00E21A4F"/>
    <w:rsid w:val="00E222FF"/>
    <w:rsid w:val="00E22572"/>
    <w:rsid w:val="00E225B6"/>
    <w:rsid w:val="00E225FD"/>
    <w:rsid w:val="00E2346E"/>
    <w:rsid w:val="00E24C2E"/>
    <w:rsid w:val="00E25374"/>
    <w:rsid w:val="00E253B0"/>
    <w:rsid w:val="00E258BE"/>
    <w:rsid w:val="00E262B8"/>
    <w:rsid w:val="00E26985"/>
    <w:rsid w:val="00E2785B"/>
    <w:rsid w:val="00E31237"/>
    <w:rsid w:val="00E3193B"/>
    <w:rsid w:val="00E31CAD"/>
    <w:rsid w:val="00E32B32"/>
    <w:rsid w:val="00E32E3A"/>
    <w:rsid w:val="00E33ED6"/>
    <w:rsid w:val="00E3499C"/>
    <w:rsid w:val="00E350BA"/>
    <w:rsid w:val="00E351DE"/>
    <w:rsid w:val="00E35C1A"/>
    <w:rsid w:val="00E363A9"/>
    <w:rsid w:val="00E40029"/>
    <w:rsid w:val="00E409C8"/>
    <w:rsid w:val="00E42969"/>
    <w:rsid w:val="00E43564"/>
    <w:rsid w:val="00E43FA6"/>
    <w:rsid w:val="00E453B0"/>
    <w:rsid w:val="00E458C3"/>
    <w:rsid w:val="00E45D71"/>
    <w:rsid w:val="00E45D8A"/>
    <w:rsid w:val="00E463C8"/>
    <w:rsid w:val="00E46A85"/>
    <w:rsid w:val="00E47D40"/>
    <w:rsid w:val="00E501FF"/>
    <w:rsid w:val="00E50700"/>
    <w:rsid w:val="00E5237F"/>
    <w:rsid w:val="00E526D4"/>
    <w:rsid w:val="00E52CD5"/>
    <w:rsid w:val="00E5354E"/>
    <w:rsid w:val="00E53933"/>
    <w:rsid w:val="00E5415B"/>
    <w:rsid w:val="00E5444B"/>
    <w:rsid w:val="00E548F6"/>
    <w:rsid w:val="00E54B03"/>
    <w:rsid w:val="00E559EC"/>
    <w:rsid w:val="00E55A89"/>
    <w:rsid w:val="00E55E90"/>
    <w:rsid w:val="00E56B47"/>
    <w:rsid w:val="00E57D24"/>
    <w:rsid w:val="00E57D8D"/>
    <w:rsid w:val="00E608F4"/>
    <w:rsid w:val="00E61276"/>
    <w:rsid w:val="00E62235"/>
    <w:rsid w:val="00E622EC"/>
    <w:rsid w:val="00E62924"/>
    <w:rsid w:val="00E63CAB"/>
    <w:rsid w:val="00E64006"/>
    <w:rsid w:val="00E64013"/>
    <w:rsid w:val="00E65B1B"/>
    <w:rsid w:val="00E67081"/>
    <w:rsid w:val="00E67A22"/>
    <w:rsid w:val="00E704BE"/>
    <w:rsid w:val="00E70555"/>
    <w:rsid w:val="00E71B2C"/>
    <w:rsid w:val="00E71D04"/>
    <w:rsid w:val="00E72101"/>
    <w:rsid w:val="00E7393D"/>
    <w:rsid w:val="00E739C6"/>
    <w:rsid w:val="00E74211"/>
    <w:rsid w:val="00E771CD"/>
    <w:rsid w:val="00E80112"/>
    <w:rsid w:val="00E815F5"/>
    <w:rsid w:val="00E81F10"/>
    <w:rsid w:val="00E83701"/>
    <w:rsid w:val="00E8391C"/>
    <w:rsid w:val="00E83B39"/>
    <w:rsid w:val="00E8403E"/>
    <w:rsid w:val="00E844CE"/>
    <w:rsid w:val="00E846C1"/>
    <w:rsid w:val="00E85D59"/>
    <w:rsid w:val="00E86D20"/>
    <w:rsid w:val="00E87E29"/>
    <w:rsid w:val="00E87E82"/>
    <w:rsid w:val="00E9057B"/>
    <w:rsid w:val="00E9158C"/>
    <w:rsid w:val="00E91EEA"/>
    <w:rsid w:val="00E92614"/>
    <w:rsid w:val="00E928DB"/>
    <w:rsid w:val="00E92D63"/>
    <w:rsid w:val="00E9481F"/>
    <w:rsid w:val="00E94FD4"/>
    <w:rsid w:val="00E95314"/>
    <w:rsid w:val="00E9551E"/>
    <w:rsid w:val="00E95B66"/>
    <w:rsid w:val="00E961C4"/>
    <w:rsid w:val="00E968EE"/>
    <w:rsid w:val="00EA1817"/>
    <w:rsid w:val="00EA1D01"/>
    <w:rsid w:val="00EA1F6D"/>
    <w:rsid w:val="00EA2078"/>
    <w:rsid w:val="00EA2626"/>
    <w:rsid w:val="00EA2FAA"/>
    <w:rsid w:val="00EA3DEA"/>
    <w:rsid w:val="00EA4AAE"/>
    <w:rsid w:val="00EA56B2"/>
    <w:rsid w:val="00EA5CAB"/>
    <w:rsid w:val="00EA60F9"/>
    <w:rsid w:val="00EA71D4"/>
    <w:rsid w:val="00EA722A"/>
    <w:rsid w:val="00EA7E29"/>
    <w:rsid w:val="00EA7F08"/>
    <w:rsid w:val="00EB050F"/>
    <w:rsid w:val="00EB0DEB"/>
    <w:rsid w:val="00EB23F6"/>
    <w:rsid w:val="00EB2A74"/>
    <w:rsid w:val="00EB4089"/>
    <w:rsid w:val="00EB4A11"/>
    <w:rsid w:val="00EB4F0A"/>
    <w:rsid w:val="00EB76B9"/>
    <w:rsid w:val="00EB7938"/>
    <w:rsid w:val="00EB7CA9"/>
    <w:rsid w:val="00EC0590"/>
    <w:rsid w:val="00EC07F8"/>
    <w:rsid w:val="00EC0FCD"/>
    <w:rsid w:val="00EC1039"/>
    <w:rsid w:val="00EC155D"/>
    <w:rsid w:val="00EC1887"/>
    <w:rsid w:val="00EC3007"/>
    <w:rsid w:val="00EC3B9F"/>
    <w:rsid w:val="00EC3CF9"/>
    <w:rsid w:val="00EC4B0E"/>
    <w:rsid w:val="00EC4C1C"/>
    <w:rsid w:val="00EC500C"/>
    <w:rsid w:val="00EC58C9"/>
    <w:rsid w:val="00EC5FE0"/>
    <w:rsid w:val="00EC6477"/>
    <w:rsid w:val="00EC6E35"/>
    <w:rsid w:val="00EC7146"/>
    <w:rsid w:val="00EC7826"/>
    <w:rsid w:val="00EC7FF5"/>
    <w:rsid w:val="00ED00E1"/>
    <w:rsid w:val="00ED042C"/>
    <w:rsid w:val="00ED1CB1"/>
    <w:rsid w:val="00ED1CCA"/>
    <w:rsid w:val="00ED20A3"/>
    <w:rsid w:val="00ED2619"/>
    <w:rsid w:val="00ED2DF0"/>
    <w:rsid w:val="00ED31F2"/>
    <w:rsid w:val="00ED3B16"/>
    <w:rsid w:val="00ED3CF6"/>
    <w:rsid w:val="00ED3D2C"/>
    <w:rsid w:val="00ED48A9"/>
    <w:rsid w:val="00ED4973"/>
    <w:rsid w:val="00ED4A7C"/>
    <w:rsid w:val="00ED66BC"/>
    <w:rsid w:val="00ED67CF"/>
    <w:rsid w:val="00ED7352"/>
    <w:rsid w:val="00EE02E3"/>
    <w:rsid w:val="00EE0EC8"/>
    <w:rsid w:val="00EE0F42"/>
    <w:rsid w:val="00EE14EE"/>
    <w:rsid w:val="00EE2403"/>
    <w:rsid w:val="00EE2983"/>
    <w:rsid w:val="00EE2D27"/>
    <w:rsid w:val="00EE319F"/>
    <w:rsid w:val="00EE377A"/>
    <w:rsid w:val="00EE5258"/>
    <w:rsid w:val="00EE57B1"/>
    <w:rsid w:val="00EE63E7"/>
    <w:rsid w:val="00EE6626"/>
    <w:rsid w:val="00EE6677"/>
    <w:rsid w:val="00EE67EE"/>
    <w:rsid w:val="00EE6B58"/>
    <w:rsid w:val="00EE6DD5"/>
    <w:rsid w:val="00EE745D"/>
    <w:rsid w:val="00EE76B1"/>
    <w:rsid w:val="00EE7743"/>
    <w:rsid w:val="00EF007C"/>
    <w:rsid w:val="00EF124C"/>
    <w:rsid w:val="00EF12D6"/>
    <w:rsid w:val="00EF14BB"/>
    <w:rsid w:val="00EF173F"/>
    <w:rsid w:val="00EF1D19"/>
    <w:rsid w:val="00EF200C"/>
    <w:rsid w:val="00EF337C"/>
    <w:rsid w:val="00EF4928"/>
    <w:rsid w:val="00EF4BB2"/>
    <w:rsid w:val="00EF5643"/>
    <w:rsid w:val="00EF5CC9"/>
    <w:rsid w:val="00EF61CB"/>
    <w:rsid w:val="00EF6705"/>
    <w:rsid w:val="00EF6C31"/>
    <w:rsid w:val="00EF6D85"/>
    <w:rsid w:val="00EF7E48"/>
    <w:rsid w:val="00EF7EBD"/>
    <w:rsid w:val="00EF7F93"/>
    <w:rsid w:val="00F001B0"/>
    <w:rsid w:val="00F002E9"/>
    <w:rsid w:val="00F003D4"/>
    <w:rsid w:val="00F01312"/>
    <w:rsid w:val="00F01976"/>
    <w:rsid w:val="00F0213B"/>
    <w:rsid w:val="00F02615"/>
    <w:rsid w:val="00F026FC"/>
    <w:rsid w:val="00F03A2B"/>
    <w:rsid w:val="00F0424F"/>
    <w:rsid w:val="00F0438F"/>
    <w:rsid w:val="00F04A5B"/>
    <w:rsid w:val="00F04BFD"/>
    <w:rsid w:val="00F05501"/>
    <w:rsid w:val="00F063B5"/>
    <w:rsid w:val="00F0684C"/>
    <w:rsid w:val="00F0711E"/>
    <w:rsid w:val="00F102EB"/>
    <w:rsid w:val="00F10409"/>
    <w:rsid w:val="00F10467"/>
    <w:rsid w:val="00F10A7C"/>
    <w:rsid w:val="00F110FF"/>
    <w:rsid w:val="00F114DB"/>
    <w:rsid w:val="00F1156D"/>
    <w:rsid w:val="00F1235F"/>
    <w:rsid w:val="00F12FB0"/>
    <w:rsid w:val="00F13D70"/>
    <w:rsid w:val="00F145BF"/>
    <w:rsid w:val="00F14CB9"/>
    <w:rsid w:val="00F161E2"/>
    <w:rsid w:val="00F1689C"/>
    <w:rsid w:val="00F16DB1"/>
    <w:rsid w:val="00F172B5"/>
    <w:rsid w:val="00F177B6"/>
    <w:rsid w:val="00F20310"/>
    <w:rsid w:val="00F2055E"/>
    <w:rsid w:val="00F2177D"/>
    <w:rsid w:val="00F2210A"/>
    <w:rsid w:val="00F242C4"/>
    <w:rsid w:val="00F2584E"/>
    <w:rsid w:val="00F260E4"/>
    <w:rsid w:val="00F261C4"/>
    <w:rsid w:val="00F273A0"/>
    <w:rsid w:val="00F273AD"/>
    <w:rsid w:val="00F30AF6"/>
    <w:rsid w:val="00F30B6F"/>
    <w:rsid w:val="00F31844"/>
    <w:rsid w:val="00F31F49"/>
    <w:rsid w:val="00F330C2"/>
    <w:rsid w:val="00F33C34"/>
    <w:rsid w:val="00F33C77"/>
    <w:rsid w:val="00F342C2"/>
    <w:rsid w:val="00F345C4"/>
    <w:rsid w:val="00F3469F"/>
    <w:rsid w:val="00F3536F"/>
    <w:rsid w:val="00F35985"/>
    <w:rsid w:val="00F363A3"/>
    <w:rsid w:val="00F36F5F"/>
    <w:rsid w:val="00F371E5"/>
    <w:rsid w:val="00F3776D"/>
    <w:rsid w:val="00F379D8"/>
    <w:rsid w:val="00F37E4F"/>
    <w:rsid w:val="00F4001A"/>
    <w:rsid w:val="00F42B1E"/>
    <w:rsid w:val="00F43673"/>
    <w:rsid w:val="00F44591"/>
    <w:rsid w:val="00F446F3"/>
    <w:rsid w:val="00F449EF"/>
    <w:rsid w:val="00F45333"/>
    <w:rsid w:val="00F45530"/>
    <w:rsid w:val="00F45E68"/>
    <w:rsid w:val="00F46730"/>
    <w:rsid w:val="00F4728E"/>
    <w:rsid w:val="00F4731F"/>
    <w:rsid w:val="00F4735A"/>
    <w:rsid w:val="00F477AF"/>
    <w:rsid w:val="00F50BE2"/>
    <w:rsid w:val="00F51A53"/>
    <w:rsid w:val="00F5235B"/>
    <w:rsid w:val="00F52AB3"/>
    <w:rsid w:val="00F532AD"/>
    <w:rsid w:val="00F535ED"/>
    <w:rsid w:val="00F546A3"/>
    <w:rsid w:val="00F54FCE"/>
    <w:rsid w:val="00F56359"/>
    <w:rsid w:val="00F56E6E"/>
    <w:rsid w:val="00F571B6"/>
    <w:rsid w:val="00F60681"/>
    <w:rsid w:val="00F60995"/>
    <w:rsid w:val="00F60A56"/>
    <w:rsid w:val="00F60BDF"/>
    <w:rsid w:val="00F6142E"/>
    <w:rsid w:val="00F62953"/>
    <w:rsid w:val="00F62A4F"/>
    <w:rsid w:val="00F62D2A"/>
    <w:rsid w:val="00F631C9"/>
    <w:rsid w:val="00F6341A"/>
    <w:rsid w:val="00F63ED6"/>
    <w:rsid w:val="00F64B24"/>
    <w:rsid w:val="00F64BE1"/>
    <w:rsid w:val="00F64DEC"/>
    <w:rsid w:val="00F64E53"/>
    <w:rsid w:val="00F654B2"/>
    <w:rsid w:val="00F65618"/>
    <w:rsid w:val="00F66515"/>
    <w:rsid w:val="00F7066E"/>
    <w:rsid w:val="00F70FF6"/>
    <w:rsid w:val="00F71803"/>
    <w:rsid w:val="00F71D38"/>
    <w:rsid w:val="00F720B0"/>
    <w:rsid w:val="00F725B8"/>
    <w:rsid w:val="00F729B4"/>
    <w:rsid w:val="00F73758"/>
    <w:rsid w:val="00F7476E"/>
    <w:rsid w:val="00F74ACD"/>
    <w:rsid w:val="00F74F41"/>
    <w:rsid w:val="00F759D0"/>
    <w:rsid w:val="00F75C72"/>
    <w:rsid w:val="00F8057B"/>
    <w:rsid w:val="00F8079A"/>
    <w:rsid w:val="00F81F51"/>
    <w:rsid w:val="00F82064"/>
    <w:rsid w:val="00F845F5"/>
    <w:rsid w:val="00F8516C"/>
    <w:rsid w:val="00F8559C"/>
    <w:rsid w:val="00F85F65"/>
    <w:rsid w:val="00F86CCD"/>
    <w:rsid w:val="00F87691"/>
    <w:rsid w:val="00F902B5"/>
    <w:rsid w:val="00F90670"/>
    <w:rsid w:val="00F9089C"/>
    <w:rsid w:val="00F90F92"/>
    <w:rsid w:val="00F90FC0"/>
    <w:rsid w:val="00F9162F"/>
    <w:rsid w:val="00F91E0F"/>
    <w:rsid w:val="00F92407"/>
    <w:rsid w:val="00F93065"/>
    <w:rsid w:val="00F93E83"/>
    <w:rsid w:val="00F949D3"/>
    <w:rsid w:val="00F956E5"/>
    <w:rsid w:val="00F95B23"/>
    <w:rsid w:val="00F960CD"/>
    <w:rsid w:val="00F969D3"/>
    <w:rsid w:val="00F96BBE"/>
    <w:rsid w:val="00F97268"/>
    <w:rsid w:val="00F97282"/>
    <w:rsid w:val="00F9768E"/>
    <w:rsid w:val="00FA006F"/>
    <w:rsid w:val="00FA0143"/>
    <w:rsid w:val="00FA10D5"/>
    <w:rsid w:val="00FA23AE"/>
    <w:rsid w:val="00FA4916"/>
    <w:rsid w:val="00FA5A5F"/>
    <w:rsid w:val="00FA6D3D"/>
    <w:rsid w:val="00FB001D"/>
    <w:rsid w:val="00FB0095"/>
    <w:rsid w:val="00FB0A10"/>
    <w:rsid w:val="00FB1144"/>
    <w:rsid w:val="00FB11BF"/>
    <w:rsid w:val="00FB229E"/>
    <w:rsid w:val="00FB257E"/>
    <w:rsid w:val="00FB359F"/>
    <w:rsid w:val="00FB4110"/>
    <w:rsid w:val="00FB4D49"/>
    <w:rsid w:val="00FB5E50"/>
    <w:rsid w:val="00FB7CD9"/>
    <w:rsid w:val="00FC0055"/>
    <w:rsid w:val="00FC1528"/>
    <w:rsid w:val="00FC1B46"/>
    <w:rsid w:val="00FC1CAE"/>
    <w:rsid w:val="00FC486D"/>
    <w:rsid w:val="00FC5D3F"/>
    <w:rsid w:val="00FC600A"/>
    <w:rsid w:val="00FC6179"/>
    <w:rsid w:val="00FC756A"/>
    <w:rsid w:val="00FC7B27"/>
    <w:rsid w:val="00FD0260"/>
    <w:rsid w:val="00FD0A4C"/>
    <w:rsid w:val="00FD0B8B"/>
    <w:rsid w:val="00FD1DF1"/>
    <w:rsid w:val="00FD3D70"/>
    <w:rsid w:val="00FD3E0F"/>
    <w:rsid w:val="00FD4B53"/>
    <w:rsid w:val="00FD4EF8"/>
    <w:rsid w:val="00FD4FA7"/>
    <w:rsid w:val="00FD511F"/>
    <w:rsid w:val="00FD52B2"/>
    <w:rsid w:val="00FD5A98"/>
    <w:rsid w:val="00FD5C4A"/>
    <w:rsid w:val="00FD5D95"/>
    <w:rsid w:val="00FD6BAB"/>
    <w:rsid w:val="00FD721E"/>
    <w:rsid w:val="00FE01A3"/>
    <w:rsid w:val="00FE046E"/>
    <w:rsid w:val="00FE04D0"/>
    <w:rsid w:val="00FE09BA"/>
    <w:rsid w:val="00FE0D65"/>
    <w:rsid w:val="00FE1278"/>
    <w:rsid w:val="00FE1C06"/>
    <w:rsid w:val="00FE200A"/>
    <w:rsid w:val="00FE208D"/>
    <w:rsid w:val="00FE23F4"/>
    <w:rsid w:val="00FE3945"/>
    <w:rsid w:val="00FE3AA1"/>
    <w:rsid w:val="00FE45CA"/>
    <w:rsid w:val="00FE4D9A"/>
    <w:rsid w:val="00FE5923"/>
    <w:rsid w:val="00FE5F23"/>
    <w:rsid w:val="00FE5F80"/>
    <w:rsid w:val="00FE6AB0"/>
    <w:rsid w:val="00FE7603"/>
    <w:rsid w:val="00FF1855"/>
    <w:rsid w:val="00FF18F4"/>
    <w:rsid w:val="00FF1DC6"/>
    <w:rsid w:val="00FF1F3F"/>
    <w:rsid w:val="00FF22B4"/>
    <w:rsid w:val="00FF2BB3"/>
    <w:rsid w:val="00FF2CDC"/>
    <w:rsid w:val="00FF30C8"/>
    <w:rsid w:val="00FF30F0"/>
    <w:rsid w:val="00FF3283"/>
    <w:rsid w:val="00FF3334"/>
    <w:rsid w:val="00FF3A2F"/>
    <w:rsid w:val="00FF3D5C"/>
    <w:rsid w:val="00FF4652"/>
    <w:rsid w:val="00FF4885"/>
    <w:rsid w:val="00FF515F"/>
    <w:rsid w:val="00FF56B3"/>
    <w:rsid w:val="00FF587D"/>
    <w:rsid w:val="00FF5B7F"/>
    <w:rsid w:val="00FF5C38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91995"/>
  <w15:docId w15:val="{C936CF89-0FBA-4107-A23F-CED8A75D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360" w:lineRule="auto"/>
      <w:outlineLvl w:val="0"/>
    </w:pPr>
    <w:rPr>
      <w:rFonts w:ascii="Neuzeit Gro T OT" w:eastAsia="Neuzeit Gro T OT" w:hAnsi="Neuzeit Gro T OT" w:cs="Neuzeit Gro T OT"/>
      <w:b/>
      <w:color w:val="00A0A7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160"/>
      <w:outlineLvl w:val="1"/>
    </w:pPr>
    <w:rPr>
      <w:rFonts w:ascii="Avenir" w:eastAsia="Avenir" w:hAnsi="Avenir" w:cs="Avenir"/>
      <w:b/>
      <w:color w:val="D9117B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160"/>
      <w:outlineLvl w:val="2"/>
    </w:pPr>
    <w:rPr>
      <w:b/>
      <w:color w:val="40404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line="360" w:lineRule="auto"/>
    </w:pPr>
    <w:rPr>
      <w:rFonts w:ascii="Neuzeit Gro T OT" w:eastAsia="Neuzeit Gro T OT" w:hAnsi="Neuzeit Gro T OT" w:cs="Neuzeit Gro T OT"/>
      <w:b/>
      <w:color w:val="00A0A7"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9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9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720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20B0"/>
  </w:style>
  <w:style w:type="paragraph" w:styleId="Footer">
    <w:name w:val="footer"/>
    <w:basedOn w:val="Normal"/>
    <w:link w:val="FooterChar"/>
    <w:uiPriority w:val="99"/>
    <w:semiHidden/>
    <w:unhideWhenUsed/>
    <w:rsid w:val="00F720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20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7E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6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17B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053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53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53BD"/>
    <w:rPr>
      <w:vertAlign w:val="superscript"/>
    </w:rPr>
  </w:style>
  <w:style w:type="paragraph" w:styleId="Revision">
    <w:name w:val="Revision"/>
    <w:hidden/>
    <w:uiPriority w:val="99"/>
    <w:semiHidden/>
    <w:rsid w:val="00B87635"/>
  </w:style>
  <w:style w:type="table" w:styleId="TableGrid">
    <w:name w:val="Table Grid"/>
    <w:basedOn w:val="TableNormal"/>
    <w:uiPriority w:val="39"/>
    <w:rsid w:val="000B14C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B0BD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A60C7"/>
  </w:style>
  <w:style w:type="character" w:customStyle="1" w:styleId="contextualspellingandgrammarerror">
    <w:name w:val="contextualspellingandgrammarerror"/>
    <w:basedOn w:val="DefaultParagraphFont"/>
    <w:rsid w:val="006A60C7"/>
  </w:style>
  <w:style w:type="character" w:customStyle="1" w:styleId="scxw168874770">
    <w:name w:val="scxw168874770"/>
    <w:basedOn w:val="DefaultParagraphFont"/>
    <w:rsid w:val="006A60C7"/>
  </w:style>
  <w:style w:type="character" w:customStyle="1" w:styleId="eop">
    <w:name w:val="eop"/>
    <w:basedOn w:val="DefaultParagraphFont"/>
    <w:rsid w:val="006A60C7"/>
  </w:style>
  <w:style w:type="paragraph" w:styleId="TOC1">
    <w:name w:val="toc 1"/>
    <w:basedOn w:val="Normal"/>
    <w:next w:val="Normal"/>
    <w:autoRedefine/>
    <w:uiPriority w:val="39"/>
    <w:unhideWhenUsed/>
    <w:rsid w:val="00F063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F4F92"/>
    <w:pPr>
      <w:tabs>
        <w:tab w:val="right" w:pos="957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063B5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3C26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kgbc.org/ukgbc-work/renewable-energy-procurement-carbon-offsetting-guidance-for-net-zero-carbon-buildings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kgbc.org/ukgbc-work/renewable-energy-procurement-carbon-offsetting-guidance-for-net-zero-carbon-building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A1F1192B24345B29F338386F13EE3" ma:contentTypeVersion="15" ma:contentTypeDescription="Create a new document." ma:contentTypeScope="" ma:versionID="aa83da0b4e6a63a40579c9cf5eea3a21">
  <xsd:schema xmlns:xsd="http://www.w3.org/2001/XMLSchema" xmlns:xs="http://www.w3.org/2001/XMLSchema" xmlns:p="http://schemas.microsoft.com/office/2006/metadata/properties" xmlns:ns2="0b619b67-fd85-4c46-bfc1-e8b5140509c1" xmlns:ns3="c1f08991-a0bc-4b5e-b90d-5f54f5cd334e" xmlns:ns4="43b9a45f-e788-4a52-b068-09a6474c90a4" targetNamespace="http://schemas.microsoft.com/office/2006/metadata/properties" ma:root="true" ma:fieldsID="0417171345daeab3416ffdc955e84155" ns2:_="" ns3:_="" ns4:_="">
    <xsd:import namespace="0b619b67-fd85-4c46-bfc1-e8b5140509c1"/>
    <xsd:import namespace="c1f08991-a0bc-4b5e-b90d-5f54f5cd334e"/>
    <xsd:import namespace="43b9a45f-e788-4a52-b068-09a6474c90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19b67-fd85-4c46-bfc1-e8b5140509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08991-a0bc-4b5e-b90d-5f54f5cd334e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9a45f-e788-4a52-b068-09a6474c9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EECB11-8F11-421C-BF88-4EE1781F43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579DC1-0CDB-4CCB-A67F-F5627BE452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727B0-360E-465E-88B5-1A738042B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19b67-fd85-4c46-bfc1-e8b5140509c1"/>
    <ds:schemaRef ds:uri="c1f08991-a0bc-4b5e-b90d-5f54f5cd334e"/>
    <ds:schemaRef ds:uri="43b9a45f-e788-4a52-b068-09a6474c9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1DF0F5-B486-4DD6-A693-B1F3B51140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Links>
    <vt:vector size="504" baseType="variant">
      <vt:variant>
        <vt:i4>49</vt:i4>
      </vt:variant>
      <vt:variant>
        <vt:i4>216</vt:i4>
      </vt:variant>
      <vt:variant>
        <vt:i4>0</vt:i4>
      </vt:variant>
      <vt:variant>
        <vt:i4>5</vt:i4>
      </vt:variant>
      <vt:variant>
        <vt:lpwstr>mailto:ANZ@ukgbc.org</vt:lpwstr>
      </vt:variant>
      <vt:variant>
        <vt:lpwstr/>
      </vt:variant>
      <vt:variant>
        <vt:i4>1376342</vt:i4>
      </vt:variant>
      <vt:variant>
        <vt:i4>213</vt:i4>
      </vt:variant>
      <vt:variant>
        <vt:i4>0</vt:i4>
      </vt:variant>
      <vt:variant>
        <vt:i4>5</vt:i4>
      </vt:variant>
      <vt:variant>
        <vt:lpwstr>https://www.gov.uk/guidance/innovations-in-the-built-environment</vt:lpwstr>
      </vt:variant>
      <vt:variant>
        <vt:lpwstr/>
      </vt:variant>
      <vt:variant>
        <vt:i4>1507407</vt:i4>
      </vt:variant>
      <vt:variant>
        <vt:i4>210</vt:i4>
      </vt:variant>
      <vt:variant>
        <vt:i4>0</vt:i4>
      </vt:variant>
      <vt:variant>
        <vt:i4>5</vt:i4>
      </vt:variant>
      <vt:variant>
        <vt:lpwstr>https://www.energiesprong.uk/</vt:lpwstr>
      </vt:variant>
      <vt:variant>
        <vt:lpwstr/>
      </vt:variant>
      <vt:variant>
        <vt:i4>8060990</vt:i4>
      </vt:variant>
      <vt:variant>
        <vt:i4>207</vt:i4>
      </vt:variant>
      <vt:variant>
        <vt:i4>0</vt:i4>
      </vt:variant>
      <vt:variant>
        <vt:i4>5</vt:i4>
      </vt:variant>
      <vt:variant>
        <vt:lpwstr>http://www.passivhaustrust.org.uk/</vt:lpwstr>
      </vt:variant>
      <vt:variant>
        <vt:lpwstr/>
      </vt:variant>
      <vt:variant>
        <vt:i4>5308496</vt:i4>
      </vt:variant>
      <vt:variant>
        <vt:i4>204</vt:i4>
      </vt:variant>
      <vt:variant>
        <vt:i4>0</vt:i4>
      </vt:variant>
      <vt:variant>
        <vt:i4>5</vt:i4>
      </vt:variant>
      <vt:variant>
        <vt:lpwstr>https://www.ukgbc.org/uncategorised/zerocarbontaskgroup/</vt:lpwstr>
      </vt:variant>
      <vt:variant>
        <vt:lpwstr/>
      </vt:variant>
      <vt:variant>
        <vt:i4>5767173</vt:i4>
      </vt:variant>
      <vt:variant>
        <vt:i4>201</vt:i4>
      </vt:variant>
      <vt:variant>
        <vt:i4>0</vt:i4>
      </vt:variant>
      <vt:variant>
        <vt:i4>5</vt:i4>
      </vt:variant>
      <vt:variant>
        <vt:lpwstr>https://www.ukgbc.org/ukgbc-work/advancing-net-zero/</vt:lpwstr>
      </vt:variant>
      <vt:variant>
        <vt:lpwstr/>
      </vt:variant>
      <vt:variant>
        <vt:i4>3211324</vt:i4>
      </vt:variant>
      <vt:variant>
        <vt:i4>198</vt:i4>
      </vt:variant>
      <vt:variant>
        <vt:i4>0</vt:i4>
      </vt:variant>
      <vt:variant>
        <vt:i4>5</vt:i4>
      </vt:variant>
      <vt:variant>
        <vt:lpwstr>https://www.worldgbc.org/thecommitment</vt:lpwstr>
      </vt:variant>
      <vt:variant>
        <vt:lpwstr/>
      </vt:variant>
      <vt:variant>
        <vt:i4>3932218</vt:i4>
      </vt:variant>
      <vt:variant>
        <vt:i4>195</vt:i4>
      </vt:variant>
      <vt:variant>
        <vt:i4>0</vt:i4>
      </vt:variant>
      <vt:variant>
        <vt:i4>5</vt:i4>
      </vt:variant>
      <vt:variant>
        <vt:lpwstr>http://www.worldgbc.org/advancing-net-zero</vt:lpwstr>
      </vt:variant>
      <vt:variant>
        <vt:lpwstr/>
      </vt:variant>
      <vt:variant>
        <vt:i4>49</vt:i4>
      </vt:variant>
      <vt:variant>
        <vt:i4>192</vt:i4>
      </vt:variant>
      <vt:variant>
        <vt:i4>0</vt:i4>
      </vt:variant>
      <vt:variant>
        <vt:i4>5</vt:i4>
      </vt:variant>
      <vt:variant>
        <vt:lpwstr>mailto:ANZ@ukgbc.org</vt:lpwstr>
      </vt:variant>
      <vt:variant>
        <vt:lpwstr/>
      </vt:variant>
      <vt:variant>
        <vt:i4>6815804</vt:i4>
      </vt:variant>
      <vt:variant>
        <vt:i4>189</vt:i4>
      </vt:variant>
      <vt:variant>
        <vt:i4>0</vt:i4>
      </vt:variant>
      <vt:variant>
        <vt:i4>5</vt:i4>
      </vt:variant>
      <vt:variant>
        <vt:lpwstr>https://worldgbc.org/thecommitment</vt:lpwstr>
      </vt:variant>
      <vt:variant>
        <vt:lpwstr/>
      </vt:variant>
      <vt:variant>
        <vt:i4>2359308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_Toc6391319</vt:lpwstr>
      </vt:variant>
      <vt:variant>
        <vt:i4>2359308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_Toc6391318</vt:lpwstr>
      </vt:variant>
      <vt:variant>
        <vt:i4>2359308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_Toc6391317</vt:lpwstr>
      </vt:variant>
      <vt:variant>
        <vt:i4>2359308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_Toc6391316</vt:lpwstr>
      </vt:variant>
      <vt:variant>
        <vt:i4>2359308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_Toc6391315</vt:lpwstr>
      </vt:variant>
      <vt:variant>
        <vt:i4>2359308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_Toc6391314</vt:lpwstr>
      </vt:variant>
      <vt:variant>
        <vt:i4>2359308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_Toc6391313</vt:lpwstr>
      </vt:variant>
      <vt:variant>
        <vt:i4>2359308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_Toc6391312</vt:lpwstr>
      </vt:variant>
      <vt:variant>
        <vt:i4>2359308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_Toc6391311</vt:lpwstr>
      </vt:variant>
      <vt:variant>
        <vt:i4>2359308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_Toc6391310</vt:lpwstr>
      </vt:variant>
      <vt:variant>
        <vt:i4>2424844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_Toc6391309</vt:lpwstr>
      </vt:variant>
      <vt:variant>
        <vt:i4>2424844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_Toc6391308</vt:lpwstr>
      </vt:variant>
      <vt:variant>
        <vt:i4>2424844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_Toc6391307</vt:lpwstr>
      </vt:variant>
      <vt:variant>
        <vt:i4>2424844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_Toc6391306</vt:lpwstr>
      </vt:variant>
      <vt:variant>
        <vt:i4>2424844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_Toc6391305</vt:lpwstr>
      </vt:variant>
      <vt:variant>
        <vt:i4>2424844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_Toc6391304</vt:lpwstr>
      </vt:variant>
      <vt:variant>
        <vt:i4>2424844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_Toc6391303</vt:lpwstr>
      </vt:variant>
      <vt:variant>
        <vt:i4>2424844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_Toc6391302</vt:lpwstr>
      </vt:variant>
      <vt:variant>
        <vt:i4>2424844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_Toc6391301</vt:lpwstr>
      </vt:variant>
      <vt:variant>
        <vt:i4>2424844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_Toc6391300</vt:lpwstr>
      </vt:variant>
      <vt:variant>
        <vt:i4>2883597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_Toc6391299</vt:lpwstr>
      </vt:variant>
      <vt:variant>
        <vt:i4>2883597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_Toc6391298</vt:lpwstr>
      </vt:variant>
      <vt:variant>
        <vt:i4>2883597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_Toc6391297</vt:lpwstr>
      </vt:variant>
      <vt:variant>
        <vt:i4>2883597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_Toc6391296</vt:lpwstr>
      </vt:variant>
      <vt:variant>
        <vt:i4>2883597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_Toc6391295</vt:lpwstr>
      </vt:variant>
      <vt:variant>
        <vt:i4>2883597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_Toc6391294</vt:lpwstr>
      </vt:variant>
      <vt:variant>
        <vt:i4>2883597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_Toc6391293</vt:lpwstr>
      </vt:variant>
      <vt:variant>
        <vt:i4>2883597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_Toc6391292</vt:lpwstr>
      </vt:variant>
      <vt:variant>
        <vt:i4>2883597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_Toc6391291</vt:lpwstr>
      </vt:variant>
      <vt:variant>
        <vt:i4>2883597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_Toc6391290</vt:lpwstr>
      </vt:variant>
      <vt:variant>
        <vt:i4>2949133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_Toc6391289</vt:lpwstr>
      </vt:variant>
      <vt:variant>
        <vt:i4>262208</vt:i4>
      </vt:variant>
      <vt:variant>
        <vt:i4>126</vt:i4>
      </vt:variant>
      <vt:variant>
        <vt:i4>0</vt:i4>
      </vt:variant>
      <vt:variant>
        <vt:i4>5</vt:i4>
      </vt:variant>
      <vt:variant>
        <vt:lpwstr>https://www.rics.org/globalassets/rics-website/media/upholding-professional-standards/sector-standards/building-surveying/whole-life-carbon-assessment-for-the-built-environment-1st-edition-rics.pdf</vt:lpwstr>
      </vt:variant>
      <vt:variant>
        <vt:lpwstr/>
      </vt:variant>
      <vt:variant>
        <vt:i4>4128871</vt:i4>
      </vt:variant>
      <vt:variant>
        <vt:i4>123</vt:i4>
      </vt:variant>
      <vt:variant>
        <vt:i4>0</vt:i4>
      </vt:variant>
      <vt:variant>
        <vt:i4>5</vt:i4>
      </vt:variant>
      <vt:variant>
        <vt:lpwstr>https://wlcarbon.rics.org/Default.aspx</vt:lpwstr>
      </vt:variant>
      <vt:variant>
        <vt:lpwstr/>
      </vt:variant>
      <vt:variant>
        <vt:i4>5570565</vt:i4>
      </vt:variant>
      <vt:variant>
        <vt:i4>120</vt:i4>
      </vt:variant>
      <vt:variant>
        <vt:i4>0</vt:i4>
      </vt:variant>
      <vt:variant>
        <vt:i4>5</vt:i4>
      </vt:variant>
      <vt:variant>
        <vt:lpwstr>http://www.circularecology.com/embodied-energy-and-carbon-footprint-database.html</vt:lpwstr>
      </vt:variant>
      <vt:variant>
        <vt:lpwstr>.XJ4hJlX7QdU</vt:lpwstr>
      </vt:variant>
      <vt:variant>
        <vt:i4>5439561</vt:i4>
      </vt:variant>
      <vt:variant>
        <vt:i4>117</vt:i4>
      </vt:variant>
      <vt:variant>
        <vt:i4>0</vt:i4>
      </vt:variant>
      <vt:variant>
        <vt:i4>5</vt:i4>
      </vt:variant>
      <vt:variant>
        <vt:lpwstr>https://www.rics.org/uk/upholding-professional-standards/sector-standards/building-surveying/whole-life-carbon-assessment-for-the-built-environment/</vt:lpwstr>
      </vt:variant>
      <vt:variant>
        <vt:lpwstr/>
      </vt:variant>
      <vt:variant>
        <vt:i4>3670127</vt:i4>
      </vt:variant>
      <vt:variant>
        <vt:i4>114</vt:i4>
      </vt:variant>
      <vt:variant>
        <vt:i4>0</vt:i4>
      </vt:variant>
      <vt:variant>
        <vt:i4>5</vt:i4>
      </vt:variant>
      <vt:variant>
        <vt:lpwstr>https://www.gov.uk/government/publications/independent-review-of-building-regulations-and-fire-safety-final-report</vt:lpwstr>
      </vt:variant>
      <vt:variant>
        <vt:lpwstr/>
      </vt:variant>
      <vt:variant>
        <vt:i4>131098</vt:i4>
      </vt:variant>
      <vt:variant>
        <vt:i4>111</vt:i4>
      </vt:variant>
      <vt:variant>
        <vt:i4>0</vt:i4>
      </vt:variant>
      <vt:variant>
        <vt:i4>5</vt:i4>
      </vt:variant>
      <vt:variant>
        <vt:lpwstr>https://www.theccc.org.uk/wp-content/uploads/2019/02/UK-housing-Fit-for-the-future-CCC-2019.pdfA</vt:lpwstr>
      </vt:variant>
      <vt:variant>
        <vt:lpwstr/>
      </vt:variant>
      <vt:variant>
        <vt:i4>6160384</vt:i4>
      </vt:variant>
      <vt:variant>
        <vt:i4>108</vt:i4>
      </vt:variant>
      <vt:variant>
        <vt:i4>0</vt:i4>
      </vt:variant>
      <vt:variant>
        <vt:i4>5</vt:i4>
      </vt:variant>
      <vt:variant>
        <vt:lpwstr>https://www.gov.uk/government/publications/industrial-strategy-the-grand-challenges/missions</vt:lpwstr>
      </vt:variant>
      <vt:variant>
        <vt:lpwstr>buildings</vt:lpwstr>
      </vt:variant>
      <vt:variant>
        <vt:i4>3080247</vt:i4>
      </vt:variant>
      <vt:variant>
        <vt:i4>105</vt:i4>
      </vt:variant>
      <vt:variant>
        <vt:i4>0</vt:i4>
      </vt:variant>
      <vt:variant>
        <vt:i4>5</vt:i4>
      </vt:variant>
      <vt:variant>
        <vt:lpwstr>https://www.cagbc.org/MakingtheCase</vt:lpwstr>
      </vt:variant>
      <vt:variant>
        <vt:lpwstr/>
      </vt:variant>
      <vt:variant>
        <vt:i4>3211324</vt:i4>
      </vt:variant>
      <vt:variant>
        <vt:i4>102</vt:i4>
      </vt:variant>
      <vt:variant>
        <vt:i4>0</vt:i4>
      </vt:variant>
      <vt:variant>
        <vt:i4>5</vt:i4>
      </vt:variant>
      <vt:variant>
        <vt:lpwstr>https://www.worldgbc.org/thecommitment</vt:lpwstr>
      </vt:variant>
      <vt:variant>
        <vt:lpwstr/>
      </vt:variant>
      <vt:variant>
        <vt:i4>5767173</vt:i4>
      </vt:variant>
      <vt:variant>
        <vt:i4>99</vt:i4>
      </vt:variant>
      <vt:variant>
        <vt:i4>0</vt:i4>
      </vt:variant>
      <vt:variant>
        <vt:i4>5</vt:i4>
      </vt:variant>
      <vt:variant>
        <vt:lpwstr>https://www.ukgbc.org/ukgbc-work/advancing-net-zero/</vt:lpwstr>
      </vt:variant>
      <vt:variant>
        <vt:lpwstr/>
      </vt:variant>
      <vt:variant>
        <vt:i4>5505043</vt:i4>
      </vt:variant>
      <vt:variant>
        <vt:i4>96</vt:i4>
      </vt:variant>
      <vt:variant>
        <vt:i4>0</vt:i4>
      </vt:variant>
      <vt:variant>
        <vt:i4>5</vt:i4>
      </vt:variant>
      <vt:variant>
        <vt:lpwstr>https://www.goldstandard.org/</vt:lpwstr>
      </vt:variant>
      <vt:variant>
        <vt:lpwstr/>
      </vt:variant>
      <vt:variant>
        <vt:i4>3801136</vt:i4>
      </vt:variant>
      <vt:variant>
        <vt:i4>93</vt:i4>
      </vt:variant>
      <vt:variant>
        <vt:i4>0</vt:i4>
      </vt:variant>
      <vt:variant>
        <vt:i4>5</vt:i4>
      </vt:variant>
      <vt:variant>
        <vt:lpwstr>http://cdm.unfccc.int/</vt:lpwstr>
      </vt:variant>
      <vt:variant>
        <vt:lpwstr/>
      </vt:variant>
      <vt:variant>
        <vt:i4>1704026</vt:i4>
      </vt:variant>
      <vt:variant>
        <vt:i4>90</vt:i4>
      </vt:variant>
      <vt:variant>
        <vt:i4>0</vt:i4>
      </vt:variant>
      <vt:variant>
        <vt:i4>5</vt:i4>
      </vt:variant>
      <vt:variant>
        <vt:lpwstr>http://media.virbcdn.com/files/73/4c55f6034585b02f-RE100TechnicalCriteria.pdf</vt:lpwstr>
      </vt:variant>
      <vt:variant>
        <vt:lpwstr/>
      </vt:variant>
      <vt:variant>
        <vt:i4>1704026</vt:i4>
      </vt:variant>
      <vt:variant>
        <vt:i4>87</vt:i4>
      </vt:variant>
      <vt:variant>
        <vt:i4>0</vt:i4>
      </vt:variant>
      <vt:variant>
        <vt:i4>5</vt:i4>
      </vt:variant>
      <vt:variant>
        <vt:lpwstr>http://media.virbcdn.com/files/73/4c55f6034585b02f-RE100TechnicalCriteria.pdf</vt:lpwstr>
      </vt:variant>
      <vt:variant>
        <vt:lpwstr/>
      </vt:variant>
      <vt:variant>
        <vt:i4>8060984</vt:i4>
      </vt:variant>
      <vt:variant>
        <vt:i4>84</vt:i4>
      </vt:variant>
      <vt:variant>
        <vt:i4>0</vt:i4>
      </vt:variant>
      <vt:variant>
        <vt:i4>5</vt:i4>
      </vt:variant>
      <vt:variant>
        <vt:lpwstr>http://media.virbcdn.com/files/d2/f9ea6f41ca833f44-RE100CREDIBLECLAIMS.pdf</vt:lpwstr>
      </vt:variant>
      <vt:variant>
        <vt:lpwstr/>
      </vt:variant>
      <vt:variant>
        <vt:i4>3276855</vt:i4>
      </vt:variant>
      <vt:variant>
        <vt:i4>81</vt:i4>
      </vt:variant>
      <vt:variant>
        <vt:i4>0</vt:i4>
      </vt:variant>
      <vt:variant>
        <vt:i4>5</vt:i4>
      </vt:variant>
      <vt:variant>
        <vt:lpwstr>https://www.theccc.org.uk/wp-content/uploads/2018/06/CCC-2018-Progress-Report-to-Parliament.pdf</vt:lpwstr>
      </vt:variant>
      <vt:variant>
        <vt:lpwstr/>
      </vt:variant>
      <vt:variant>
        <vt:i4>393245</vt:i4>
      </vt:variant>
      <vt:variant>
        <vt:i4>78</vt:i4>
      </vt:variant>
      <vt:variant>
        <vt:i4>0</vt:i4>
      </vt:variant>
      <vt:variant>
        <vt:i4>5</vt:i4>
      </vt:variant>
      <vt:variant>
        <vt:lpwstr>https://www.cibse.org/knowledge/knowledge-items/detail?id=a0q0O00000DVrTdQAL</vt:lpwstr>
      </vt:variant>
      <vt:variant>
        <vt:lpwstr/>
      </vt:variant>
      <vt:variant>
        <vt:i4>5570651</vt:i4>
      </vt:variant>
      <vt:variant>
        <vt:i4>75</vt:i4>
      </vt:variant>
      <vt:variant>
        <vt:i4>0</vt:i4>
      </vt:variant>
      <vt:variant>
        <vt:i4>5</vt:i4>
      </vt:variant>
      <vt:variant>
        <vt:lpwstr>https://www.cibse.org/Knowledge/knowledge-items/detail?id=a0q20000008I7f5AAC [Accessed 1/04/2019].</vt:lpwstr>
      </vt:variant>
      <vt:variant>
        <vt:lpwstr/>
      </vt:variant>
      <vt:variant>
        <vt:i4>983111</vt:i4>
      </vt:variant>
      <vt:variant>
        <vt:i4>72</vt:i4>
      </vt:variant>
      <vt:variant>
        <vt:i4>0</vt:i4>
      </vt:variant>
      <vt:variant>
        <vt:i4>5</vt:i4>
      </vt:variant>
      <vt:variant>
        <vt:lpwstr>https://www.iso.org/iso-50001-energy-management.html</vt:lpwstr>
      </vt:variant>
      <vt:variant>
        <vt:lpwstr/>
      </vt:variant>
      <vt:variant>
        <vt:i4>983115</vt:i4>
      </vt:variant>
      <vt:variant>
        <vt:i4>69</vt:i4>
      </vt:variant>
      <vt:variant>
        <vt:i4>0</vt:i4>
      </vt:variant>
      <vt:variant>
        <vt:i4>5</vt:i4>
      </vt:variant>
      <vt:variant>
        <vt:lpwstr>https://www.cibse.org/Knowledge/knowledge-items/detail?id=a0q20000008I7oTAAS</vt:lpwstr>
      </vt:variant>
      <vt:variant>
        <vt:lpwstr/>
      </vt:variant>
      <vt:variant>
        <vt:i4>3276855</vt:i4>
      </vt:variant>
      <vt:variant>
        <vt:i4>66</vt:i4>
      </vt:variant>
      <vt:variant>
        <vt:i4>0</vt:i4>
      </vt:variant>
      <vt:variant>
        <vt:i4>5</vt:i4>
      </vt:variant>
      <vt:variant>
        <vt:lpwstr>https://www.theccc.org.uk/wp-content/uploads/2018/06/CCC-2018-Progress-Report-to-Parliament.pdf</vt:lpwstr>
      </vt:variant>
      <vt:variant>
        <vt:lpwstr/>
      </vt:variant>
      <vt:variant>
        <vt:i4>3276855</vt:i4>
      </vt:variant>
      <vt:variant>
        <vt:i4>63</vt:i4>
      </vt:variant>
      <vt:variant>
        <vt:i4>0</vt:i4>
      </vt:variant>
      <vt:variant>
        <vt:i4>5</vt:i4>
      </vt:variant>
      <vt:variant>
        <vt:lpwstr>https://www.theccc.org.uk/wp-content/uploads/2018/06/CCC-2018-Progress-Report-to-Parliament.pdf</vt:lpwstr>
      </vt:variant>
      <vt:variant>
        <vt:lpwstr/>
      </vt:variant>
      <vt:variant>
        <vt:i4>6357034</vt:i4>
      </vt:variant>
      <vt:variant>
        <vt:i4>60</vt:i4>
      </vt:variant>
      <vt:variant>
        <vt:i4>0</vt:i4>
      </vt:variant>
      <vt:variant>
        <vt:i4>5</vt:i4>
      </vt:variant>
      <vt:variant>
        <vt:lpwstr>https://www.wwf.org.uk/sites/default/files/2018-11/NetZeroReportART.pdf</vt:lpwstr>
      </vt:variant>
      <vt:variant>
        <vt:lpwstr/>
      </vt:variant>
      <vt:variant>
        <vt:i4>4194377</vt:i4>
      </vt:variant>
      <vt:variant>
        <vt:i4>57</vt:i4>
      </vt:variant>
      <vt:variant>
        <vt:i4>0</vt:i4>
      </vt:variant>
      <vt:variant>
        <vt:i4>5</vt:i4>
      </vt:variant>
      <vt:variant>
        <vt:lpwstr>https://www.ukgbc.org/wp-content/uploads/2019/04/Circular-Economy-Report.pdf</vt:lpwstr>
      </vt:variant>
      <vt:variant>
        <vt:lpwstr/>
      </vt:variant>
      <vt:variant>
        <vt:i4>4194330</vt:i4>
      </vt:variant>
      <vt:variant>
        <vt:i4>54</vt:i4>
      </vt:variant>
      <vt:variant>
        <vt:i4>0</vt:i4>
      </vt:variant>
      <vt:variant>
        <vt:i4>5</vt:i4>
      </vt:variant>
      <vt:variant>
        <vt:lpwstr>https://www.rics.org/uk/upholding-professional-standards/sector-standards/construction/icms-international-construction-measurement-standards/</vt:lpwstr>
      </vt:variant>
      <vt:variant>
        <vt:lpwstr/>
      </vt:variant>
      <vt:variant>
        <vt:i4>262208</vt:i4>
      </vt:variant>
      <vt:variant>
        <vt:i4>51</vt:i4>
      </vt:variant>
      <vt:variant>
        <vt:i4>0</vt:i4>
      </vt:variant>
      <vt:variant>
        <vt:i4>5</vt:i4>
      </vt:variant>
      <vt:variant>
        <vt:lpwstr>https://www.rics.org/globalassets/rics-website/media/upholding-professional-standards/sector-standards/building-surveying/whole-life-carbon-assessment-for-the-built-environment-1st-edition-rics.pdf</vt:lpwstr>
      </vt:variant>
      <vt:variant>
        <vt:lpwstr/>
      </vt:variant>
      <vt:variant>
        <vt:i4>851972</vt:i4>
      </vt:variant>
      <vt:variant>
        <vt:i4>48</vt:i4>
      </vt:variant>
      <vt:variant>
        <vt:i4>0</vt:i4>
      </vt:variant>
      <vt:variant>
        <vt:i4>5</vt:i4>
      </vt:variant>
      <vt:variant>
        <vt:lpwstr>http://ciemap.leeds.ac.uk/wp-content/uploads/2018/05/Briefing-Note-5.pdf</vt:lpwstr>
      </vt:variant>
      <vt:variant>
        <vt:lpwstr/>
      </vt:variant>
      <vt:variant>
        <vt:i4>2687037</vt:i4>
      </vt:variant>
      <vt:variant>
        <vt:i4>45</vt:i4>
      </vt:variant>
      <vt:variant>
        <vt:i4>0</vt:i4>
      </vt:variant>
      <vt:variant>
        <vt:i4>5</vt:i4>
      </vt:variant>
      <vt:variant>
        <vt:lpwstr>https://ghgprotocol.org/sites/default/files/standards/Scope 2 Guidance_Final_0.pdf</vt:lpwstr>
      </vt:variant>
      <vt:variant>
        <vt:lpwstr/>
      </vt:variant>
      <vt:variant>
        <vt:i4>3276855</vt:i4>
      </vt:variant>
      <vt:variant>
        <vt:i4>42</vt:i4>
      </vt:variant>
      <vt:variant>
        <vt:i4>0</vt:i4>
      </vt:variant>
      <vt:variant>
        <vt:i4>5</vt:i4>
      </vt:variant>
      <vt:variant>
        <vt:lpwstr>https://www.theccc.org.uk/wp-content/uploads/2018/06/CCC-2018-Progress-Report-to-Parliament.pdf</vt:lpwstr>
      </vt:variant>
      <vt:variant>
        <vt:lpwstr/>
      </vt:variant>
      <vt:variant>
        <vt:i4>262208</vt:i4>
      </vt:variant>
      <vt:variant>
        <vt:i4>39</vt:i4>
      </vt:variant>
      <vt:variant>
        <vt:i4>0</vt:i4>
      </vt:variant>
      <vt:variant>
        <vt:i4>5</vt:i4>
      </vt:variant>
      <vt:variant>
        <vt:lpwstr>https://www.rics.org/globalassets/rics-website/media/upholding-professional-standards/sector-standards/building-surveying/whole-life-carbon-assessment-for-the-built-environment-1st-edition-rics.pdf</vt:lpwstr>
      </vt:variant>
      <vt:variant>
        <vt:lpwstr/>
      </vt:variant>
      <vt:variant>
        <vt:i4>1769552</vt:i4>
      </vt:variant>
      <vt:variant>
        <vt:i4>36</vt:i4>
      </vt:variant>
      <vt:variant>
        <vt:i4>0</vt:i4>
      </vt:variant>
      <vt:variant>
        <vt:i4>5</vt:i4>
      </vt:variant>
      <vt:variant>
        <vt:lpwstr>https://eemap.energyefficientmortgages.eu/04-downloads-2/</vt:lpwstr>
      </vt:variant>
      <vt:variant>
        <vt:lpwstr/>
      </vt:variant>
      <vt:variant>
        <vt:i4>1376342</vt:i4>
      </vt:variant>
      <vt:variant>
        <vt:i4>33</vt:i4>
      </vt:variant>
      <vt:variant>
        <vt:i4>0</vt:i4>
      </vt:variant>
      <vt:variant>
        <vt:i4>5</vt:i4>
      </vt:variant>
      <vt:variant>
        <vt:lpwstr>https://www.gov.uk/guidance/innovations-in-the-built-environment</vt:lpwstr>
      </vt:variant>
      <vt:variant>
        <vt:lpwstr/>
      </vt:variant>
      <vt:variant>
        <vt:i4>1507407</vt:i4>
      </vt:variant>
      <vt:variant>
        <vt:i4>30</vt:i4>
      </vt:variant>
      <vt:variant>
        <vt:i4>0</vt:i4>
      </vt:variant>
      <vt:variant>
        <vt:i4>5</vt:i4>
      </vt:variant>
      <vt:variant>
        <vt:lpwstr>https://www.energiesprong.uk/</vt:lpwstr>
      </vt:variant>
      <vt:variant>
        <vt:lpwstr/>
      </vt:variant>
      <vt:variant>
        <vt:i4>8060990</vt:i4>
      </vt:variant>
      <vt:variant>
        <vt:i4>27</vt:i4>
      </vt:variant>
      <vt:variant>
        <vt:i4>0</vt:i4>
      </vt:variant>
      <vt:variant>
        <vt:i4>5</vt:i4>
      </vt:variant>
      <vt:variant>
        <vt:lpwstr>http://www.passivhaustrust.org.uk/</vt:lpwstr>
      </vt:variant>
      <vt:variant>
        <vt:lpwstr/>
      </vt:variant>
      <vt:variant>
        <vt:i4>5767173</vt:i4>
      </vt:variant>
      <vt:variant>
        <vt:i4>24</vt:i4>
      </vt:variant>
      <vt:variant>
        <vt:i4>0</vt:i4>
      </vt:variant>
      <vt:variant>
        <vt:i4>5</vt:i4>
      </vt:variant>
      <vt:variant>
        <vt:lpwstr>https://www.ukgbc.org/ukgbc-work/advancing-net-zero/</vt:lpwstr>
      </vt:variant>
      <vt:variant>
        <vt:lpwstr/>
      </vt:variant>
      <vt:variant>
        <vt:i4>5767173</vt:i4>
      </vt:variant>
      <vt:variant>
        <vt:i4>21</vt:i4>
      </vt:variant>
      <vt:variant>
        <vt:i4>0</vt:i4>
      </vt:variant>
      <vt:variant>
        <vt:i4>5</vt:i4>
      </vt:variant>
      <vt:variant>
        <vt:lpwstr>https://www.ukgbc.org/ukgbc-work/advancing-net-zero/</vt:lpwstr>
      </vt:variant>
      <vt:variant>
        <vt:lpwstr/>
      </vt:variant>
      <vt:variant>
        <vt:i4>3211324</vt:i4>
      </vt:variant>
      <vt:variant>
        <vt:i4>18</vt:i4>
      </vt:variant>
      <vt:variant>
        <vt:i4>0</vt:i4>
      </vt:variant>
      <vt:variant>
        <vt:i4>5</vt:i4>
      </vt:variant>
      <vt:variant>
        <vt:lpwstr>https://www.worldgbc.org/thecommitment</vt:lpwstr>
      </vt:variant>
      <vt:variant>
        <vt:lpwstr/>
      </vt:variant>
      <vt:variant>
        <vt:i4>6881380</vt:i4>
      </vt:variant>
      <vt:variant>
        <vt:i4>15</vt:i4>
      </vt:variant>
      <vt:variant>
        <vt:i4>0</vt:i4>
      </vt:variant>
      <vt:variant>
        <vt:i4>5</vt:i4>
      </vt:variant>
      <vt:variant>
        <vt:lpwstr>http://www.worldgbc.org/news-media/thousands-billions-coordinated-action-towards-100-net-zero-carbon-buildings-2050</vt:lpwstr>
      </vt:variant>
      <vt:variant>
        <vt:lpwstr/>
      </vt:variant>
      <vt:variant>
        <vt:i4>6881380</vt:i4>
      </vt:variant>
      <vt:variant>
        <vt:i4>12</vt:i4>
      </vt:variant>
      <vt:variant>
        <vt:i4>0</vt:i4>
      </vt:variant>
      <vt:variant>
        <vt:i4>5</vt:i4>
      </vt:variant>
      <vt:variant>
        <vt:lpwstr>http://www.worldgbc.org/news-media/thousands-billions-coordinated-action-towards-100-net-zero-carbon-buildings-2050</vt:lpwstr>
      </vt:variant>
      <vt:variant>
        <vt:lpwstr/>
      </vt:variant>
      <vt:variant>
        <vt:i4>7536739</vt:i4>
      </vt:variant>
      <vt:variant>
        <vt:i4>9</vt:i4>
      </vt:variant>
      <vt:variant>
        <vt:i4>0</vt:i4>
      </vt:variant>
      <vt:variant>
        <vt:i4>5</vt:i4>
      </vt:variant>
      <vt:variant>
        <vt:lpwstr>https://www.dgbc.nl/themas/paris-proof</vt:lpwstr>
      </vt:variant>
      <vt:variant>
        <vt:lpwstr/>
      </vt:variant>
      <vt:variant>
        <vt:i4>262208</vt:i4>
      </vt:variant>
      <vt:variant>
        <vt:i4>6</vt:i4>
      </vt:variant>
      <vt:variant>
        <vt:i4>0</vt:i4>
      </vt:variant>
      <vt:variant>
        <vt:i4>5</vt:i4>
      </vt:variant>
      <vt:variant>
        <vt:lpwstr>https://www.rics.org/globalassets/rics-website/media/upholding-professional-standards/sector-standards/building-surveying/whole-life-carbon-assessment-for-the-built-environment-1st-edition-rics.pdf</vt:lpwstr>
      </vt:variant>
      <vt:variant>
        <vt:lpwstr/>
      </vt:variant>
      <vt:variant>
        <vt:i4>3276855</vt:i4>
      </vt:variant>
      <vt:variant>
        <vt:i4>3</vt:i4>
      </vt:variant>
      <vt:variant>
        <vt:i4>0</vt:i4>
      </vt:variant>
      <vt:variant>
        <vt:i4>5</vt:i4>
      </vt:variant>
      <vt:variant>
        <vt:lpwstr>https://www.theccc.org.uk/wp-content/uploads/2018/06/CCC-2018-Progress-Report-to-Parliament.pdf</vt:lpwstr>
      </vt:variant>
      <vt:variant>
        <vt:lpwstr/>
      </vt:variant>
      <vt:variant>
        <vt:i4>5242958</vt:i4>
      </vt:variant>
      <vt:variant>
        <vt:i4>0</vt:i4>
      </vt:variant>
      <vt:variant>
        <vt:i4>0</vt:i4>
      </vt:variant>
      <vt:variant>
        <vt:i4>5</vt:i4>
      </vt:variant>
      <vt:variant>
        <vt:lpwstr>https://www.ipcc.ch/sr15/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Alker</dc:creator>
  <cp:keywords/>
  <cp:lastModifiedBy>Brooke Penman</cp:lastModifiedBy>
  <cp:revision>2</cp:revision>
  <dcterms:created xsi:type="dcterms:W3CDTF">2021-05-14T13:55:00Z</dcterms:created>
  <dcterms:modified xsi:type="dcterms:W3CDTF">2021-05-14T13:55:00Z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0x010100337A1F1192B24345B29F338386F13EE3</vt:lpwstr>
  </property>
  <property fmtid="{D5CDD505-2E9C-101B-9397-08002B2CF9AE}" pid="3" name="AuthorIds_UIVersion_109056">
    <vt:lpwstr>55</vt:lpwstr>
  </property>
</Properties>
</file>